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00648C"/>
        </w:rPr>
        <w:t>Ternlang — Financial Data &amp; Projections</w:t>
      </w:r>
    </w:p>
    <w:p>
      <w:r>
        <w:rPr>
          <w:b w:val="0"/>
          <w:sz w:val="20"/>
        </w:rPr>
        <w:t>RFI-IRFOS  |  Graz, Austria  |  April 2026  |  rfi.irfos@gmail.com</w:t>
      </w:r>
    </w:p>
    <w:p/>
    <w:p>
      <w:pPr>
        <w:pStyle w:val="Heading2"/>
      </w:pPr>
      <w:r>
        <w:t>1. Current Status (April 2026)</w:t>
      </w:r>
    </w:p>
    <w:p>
      <w:r>
        <w:rPr>
          <w:b/>
          <w:sz w:val="22"/>
        </w:rPr>
        <w:t>Pre-revenue. Infrastructure operational. Payment systems live.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type="dxa" w:w="4320"/>
          </w:tcPr>
          <w:p>
            <w:r>
              <w:t>Revenue (MRR)</w:t>
            </w:r>
          </w:p>
        </w:tc>
        <w:tc>
          <w:tcPr>
            <w:tcW w:type="dxa" w:w="4320"/>
          </w:tcPr>
          <w:p>
            <w:r>
              <w:t>€0 — no paying subscribers yet. Tier 2/3 payment links live and tested.</w:t>
            </w:r>
          </w:p>
        </w:tc>
      </w:tr>
      <w:tr>
        <w:tc>
          <w:tcPr>
            <w:tcW w:type="dxa" w:w="4320"/>
          </w:tcPr>
          <w:p>
            <w:r>
              <w:t>Infrastructure cost (monthly)</w:t>
            </w:r>
          </w:p>
        </w:tc>
        <w:tc>
          <w:tcPr>
            <w:tcW w:type="dxa" w:w="4320"/>
          </w:tcPr>
          <w:p>
            <w:r>
              <w:t>~€20–30 (Fly.io shared-cpu-1x 256MB) — scales on demand</w:t>
            </w:r>
          </w:p>
        </w:tc>
      </w:tr>
      <w:tr>
        <w:tc>
          <w:tcPr>
            <w:tcW w:type="dxa" w:w="4320"/>
          </w:tcPr>
          <w:p>
            <w:r>
              <w:t>Development cost to date</w:t>
            </w:r>
          </w:p>
        </w:tc>
        <w:tc>
          <w:tcPr>
            <w:tcW w:type="dxa" w:w="4320"/>
          </w:tcPr>
          <w:p>
            <w:r>
              <w:t>Founder time only — no external capital raised</w:t>
            </w:r>
          </w:p>
        </w:tc>
      </w:tr>
      <w:tr>
        <w:tc>
          <w:tcPr>
            <w:tcW w:type="dxa" w:w="4320"/>
          </w:tcPr>
          <w:p>
            <w:r>
              <w:t>Cash on hand</w:t>
            </w:r>
          </w:p>
        </w:tc>
        <w:tc>
          <w:tcPr>
            <w:tcW w:type="dxa" w:w="4320"/>
          </w:tcPr>
          <w:p>
            <w:r>
              <w:t>Founder-funded</w:t>
            </w:r>
          </w:p>
        </w:tc>
      </w:tr>
      <w:tr>
        <w:tc>
          <w:tcPr>
            <w:tcW w:type="dxa" w:w="4320"/>
          </w:tcPr>
          <w:p>
            <w:r>
              <w:t>Legal entity</w:t>
            </w:r>
          </w:p>
        </w:tc>
        <w:tc>
          <w:tcPr>
            <w:tcW w:type="dxa" w:w="4320"/>
          </w:tcPr>
          <w:p>
            <w:r>
              <w:t>Sole proprietorship (Einzelunternehmen) — formalisation in progress</w:t>
            </w:r>
          </w:p>
        </w:tc>
      </w:tr>
    </w:tbl>
    <w:p>
      <w:pPr>
        <w:pStyle w:val="Heading2"/>
      </w:pPr>
      <w:r>
        <w:t>2. Unit Economics — SaaS Tiers</w:t>
      </w:r>
    </w:p>
    <w:tbl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Tier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Price/mo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Gross margin</w:t>
            </w:r>
          </w:p>
        </w:tc>
        <w:tc>
          <w:tcPr>
            <w:tcW w:type="dxa" w:w="1728"/>
          </w:tcPr>
          <w:p>
            <w:r>
              <w:rPr>
                <w:b/>
              </w:rPr>
              <w:t>Gross profit/seat/mo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Target LTV</w:t>
            </w:r>
          </w:p>
        </w:tc>
      </w:tr>
      <w:tr>
        <w:tc>
          <w:tcPr>
            <w:tcW w:type="dxa" w:w="1728"/>
          </w:tcPr>
          <w:p>
            <w:r>
              <w:t>Tier 2 — Pro</w:t>
            </w:r>
          </w:p>
        </w:tc>
        <w:tc>
          <w:tcPr>
            <w:tcW w:type="dxa" w:w="1728"/>
          </w:tcPr>
          <w:p>
            <w:r>
              <w:t>€99</w:t>
            </w:r>
          </w:p>
        </w:tc>
        <w:tc>
          <w:tcPr>
            <w:tcW w:type="dxa" w:w="1728"/>
          </w:tcPr>
          <w:p>
            <w:r>
              <w:t>~60%</w:t>
            </w:r>
          </w:p>
        </w:tc>
        <w:tc>
          <w:tcPr>
            <w:tcW w:type="dxa" w:w="1728"/>
          </w:tcPr>
          <w:p>
            <w:r>
              <w:t>~€59</w:t>
            </w:r>
          </w:p>
        </w:tc>
        <w:tc>
          <w:tcPr>
            <w:tcW w:type="dxa" w:w="1728"/>
          </w:tcPr>
          <w:p>
            <w:r>
              <w:t>12 months / ~€1,200</w:t>
            </w:r>
          </w:p>
        </w:tc>
      </w:tr>
      <w:tr>
        <w:tc>
          <w:tcPr>
            <w:tcW w:type="dxa" w:w="1728"/>
          </w:tcPr>
          <w:p>
            <w:r>
              <w:t>Tier 3 — Industrial</w:t>
            </w:r>
          </w:p>
        </w:tc>
        <w:tc>
          <w:tcPr>
            <w:tcW w:type="dxa" w:w="1728"/>
          </w:tcPr>
          <w:p>
            <w:r>
              <w:t>€349</w:t>
            </w:r>
          </w:p>
        </w:tc>
        <w:tc>
          <w:tcPr>
            <w:tcW w:type="dxa" w:w="1728"/>
          </w:tcPr>
          <w:p>
            <w:r>
              <w:t>~75%</w:t>
            </w:r>
          </w:p>
        </w:tc>
        <w:tc>
          <w:tcPr>
            <w:tcW w:type="dxa" w:w="1728"/>
          </w:tcPr>
          <w:p>
            <w:r>
              <w:t>~€262</w:t>
            </w:r>
          </w:p>
        </w:tc>
        <w:tc>
          <w:tcPr>
            <w:tcW w:type="dxa" w:w="1728"/>
          </w:tcPr>
          <w:p>
            <w:r>
              <w:t>18 months / ~€6,300</w:t>
            </w:r>
          </w:p>
        </w:tc>
      </w:tr>
      <w:tr>
        <w:tc>
          <w:tcPr>
            <w:tcW w:type="dxa" w:w="1728"/>
          </w:tcPr>
          <w:p>
            <w:r>
              <w:t>Tier 4 — Enterprise</w:t>
            </w:r>
          </w:p>
        </w:tc>
        <w:tc>
          <w:tcPr>
            <w:tcW w:type="dxa" w:w="1728"/>
          </w:tcPr>
          <w:p>
            <w:r>
              <w:t>€2,500+</w:t>
            </w:r>
          </w:p>
        </w:tc>
        <w:tc>
          <w:tcPr>
            <w:tcW w:type="dxa" w:w="1728"/>
          </w:tcPr>
          <w:p>
            <w:r>
              <w:t>~85%</w:t>
            </w:r>
          </w:p>
        </w:tc>
        <w:tc>
          <w:tcPr>
            <w:tcW w:type="dxa" w:w="1728"/>
          </w:tcPr>
          <w:p>
            <w:r>
              <w:t>~€2,125+</w:t>
            </w:r>
          </w:p>
        </w:tc>
        <w:tc>
          <w:tcPr>
            <w:tcW w:type="dxa" w:w="1728"/>
          </w:tcPr>
          <w:p>
            <w:r>
              <w:t>24+ months / €60,000+</w:t>
            </w:r>
          </w:p>
        </w:tc>
      </w:tr>
    </w:tbl>
    <w:p>
      <w:pPr>
        <w:pStyle w:val="Heading2"/>
      </w:pPr>
      <w:r>
        <w:t>3. Revenue Projections (18-month base case)</w:t>
      </w:r>
    </w:p>
    <w:p>
      <w:r>
        <w:rPr>
          <w:b w:val="0"/>
          <w:sz w:val="22"/>
        </w:rPr>
        <w:t>Assumptions: Tier 2 conversion rate 2% of free users/month after WASM launch; Tier 3 conversion 0.3% of Tier 2; Tier 4 direct sales starting Month 9.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Month</w:t>
            </w:r>
          </w:p>
        </w:tc>
        <w:tc>
          <w:tcPr>
            <w:tcW w:type="dxa" w:w="1728"/>
          </w:tcPr>
          <w:p>
            <w:r>
              <w:rPr>
                <w:b/>
              </w:rPr>
              <w:t>Tier 2 subscribers</w:t>
            </w:r>
          </w:p>
        </w:tc>
        <w:tc>
          <w:tcPr>
            <w:tcW w:type="dxa" w:w="1728"/>
          </w:tcPr>
          <w:p>
            <w:r>
              <w:rPr>
                <w:b/>
              </w:rPr>
              <w:t>Tier 3 subscribers</w:t>
            </w:r>
          </w:p>
        </w:tc>
        <w:tc>
          <w:tcPr>
            <w:tcW w:type="dxa" w:w="1728"/>
          </w:tcPr>
          <w:p>
            <w:r>
              <w:rPr>
                <w:b/>
              </w:rPr>
              <w:t>Tier 4 accounts</w:t>
            </w:r>
          </w:p>
        </w:tc>
        <w:tc>
          <w:tcPr>
            <w:tcW w:type="dxa" w:w="1728"/>
          </w:tcPr>
          <w:p>
            <w:r>
              <w:rPr>
                <w:b/>
              </w:rPr>
              <w:t>MRR (€)</w:t>
            </w:r>
          </w:p>
        </w:tc>
      </w:tr>
      <w:tr>
        <w:tc>
          <w:tcPr>
            <w:tcW w:type="dxa" w:w="1728"/>
          </w:tcPr>
          <w:p>
            <w:r>
              <w:t>M1–M3</w:t>
            </w:r>
          </w:p>
        </w:tc>
        <w:tc>
          <w:tcPr>
            <w:tcW w:type="dxa" w:w="1728"/>
          </w:tcPr>
          <w:p>
            <w:r>
              <w:t>0–5</w:t>
            </w:r>
          </w:p>
        </w:tc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>
              <w:t>0 – 495</w:t>
            </w:r>
          </w:p>
        </w:tc>
      </w:tr>
      <w:tr>
        <w:tc>
          <w:tcPr>
            <w:tcW w:type="dxa" w:w="1728"/>
          </w:tcPr>
          <w:p>
            <w:r>
              <w:t>M4</w:t>
            </w:r>
          </w:p>
        </w:tc>
        <w:tc>
          <w:tcPr>
            <w:tcW w:type="dxa" w:w="1728"/>
          </w:tcPr>
          <w:p>
            <w:r>
              <w:t>10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>
              <w:t>1,339</w:t>
            </w:r>
          </w:p>
        </w:tc>
      </w:tr>
      <w:tr>
        <w:tc>
          <w:tcPr>
            <w:tcW w:type="dxa" w:w="1728"/>
          </w:tcPr>
          <w:p>
            <w:r>
              <w:t>M6</w:t>
            </w:r>
          </w:p>
        </w:tc>
        <w:tc>
          <w:tcPr>
            <w:tcW w:type="dxa" w:w="1728"/>
          </w:tcPr>
          <w:p>
            <w:r>
              <w:t>25</w:t>
            </w:r>
          </w:p>
        </w:tc>
        <w:tc>
          <w:tcPr>
            <w:tcW w:type="dxa" w:w="1728"/>
          </w:tcPr>
          <w:p>
            <w:r>
              <w:t>3</w:t>
            </w:r>
          </w:p>
        </w:tc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>
              <w:t>3,522</w:t>
            </w:r>
          </w:p>
        </w:tc>
      </w:tr>
      <w:tr>
        <w:tc>
          <w:tcPr>
            <w:tcW w:type="dxa" w:w="1728"/>
          </w:tcPr>
          <w:p>
            <w:r>
              <w:t>M8</w:t>
            </w:r>
          </w:p>
        </w:tc>
        <w:tc>
          <w:tcPr>
            <w:tcW w:type="dxa" w:w="1728"/>
          </w:tcPr>
          <w:p>
            <w:r>
              <w:t>50</w:t>
            </w:r>
          </w:p>
        </w:tc>
        <w:tc>
          <w:tcPr>
            <w:tcW w:type="dxa" w:w="1728"/>
          </w:tcPr>
          <w:p>
            <w:r>
              <w:t>6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9,644</w:t>
            </w:r>
          </w:p>
        </w:tc>
      </w:tr>
      <w:tr>
        <w:tc>
          <w:tcPr>
            <w:tcW w:type="dxa" w:w="1728"/>
          </w:tcPr>
          <w:p>
            <w:r>
              <w:t>M10</w:t>
            </w:r>
          </w:p>
        </w:tc>
        <w:tc>
          <w:tcPr>
            <w:tcW w:type="dxa" w:w="1728"/>
          </w:tcPr>
          <w:p>
            <w:r>
              <w:t>80</w:t>
            </w:r>
          </w:p>
        </w:tc>
        <w:tc>
          <w:tcPr>
            <w:tcW w:type="dxa" w:w="1728"/>
          </w:tcPr>
          <w:p>
            <w:r>
              <w:t>10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15,410</w:t>
            </w:r>
          </w:p>
        </w:tc>
      </w:tr>
      <w:tr>
        <w:tc>
          <w:tcPr>
            <w:tcW w:type="dxa" w:w="1728"/>
          </w:tcPr>
          <w:p>
            <w:r>
              <w:t>M12</w:t>
            </w:r>
          </w:p>
        </w:tc>
        <w:tc>
          <w:tcPr>
            <w:tcW w:type="dxa" w:w="1728"/>
          </w:tcPr>
          <w:p>
            <w:r>
              <w:t>100</w:t>
            </w:r>
          </w:p>
        </w:tc>
        <w:tc>
          <w:tcPr>
            <w:tcW w:type="dxa" w:w="1728"/>
          </w:tcPr>
          <w:p>
            <w:r>
              <w:t>15</w:t>
            </w:r>
          </w:p>
        </w:tc>
        <w:tc>
          <w:tcPr>
            <w:tcW w:type="dxa" w:w="1728"/>
          </w:tcPr>
          <w:p>
            <w:r>
              <w:t>2</w:t>
            </w:r>
          </w:p>
        </w:tc>
        <w:tc>
          <w:tcPr>
            <w:tcW w:type="dxa" w:w="1728"/>
          </w:tcPr>
          <w:p>
            <w:r>
              <w:t>22,135</w:t>
            </w:r>
          </w:p>
        </w:tc>
      </w:tr>
      <w:tr>
        <w:tc>
          <w:tcPr>
            <w:tcW w:type="dxa" w:w="1728"/>
          </w:tcPr>
          <w:p>
            <w:r>
              <w:t>M15</w:t>
            </w:r>
          </w:p>
        </w:tc>
        <w:tc>
          <w:tcPr>
            <w:tcW w:type="dxa" w:w="1728"/>
          </w:tcPr>
          <w:p>
            <w:r>
              <w:t>150</w:t>
            </w:r>
          </w:p>
        </w:tc>
        <w:tc>
          <w:tcPr>
            <w:tcW w:type="dxa" w:w="1728"/>
          </w:tcPr>
          <w:p>
            <w:r>
              <w:t>25</w:t>
            </w:r>
          </w:p>
        </w:tc>
        <w:tc>
          <w:tcPr>
            <w:tcW w:type="dxa" w:w="1728"/>
          </w:tcPr>
          <w:p>
            <w:r>
              <w:t>3</w:t>
            </w:r>
          </w:p>
        </w:tc>
        <w:tc>
          <w:tcPr>
            <w:tcW w:type="dxa" w:w="1728"/>
          </w:tcPr>
          <w:p>
            <w:r>
              <w:t>41,225</w:t>
            </w:r>
          </w:p>
        </w:tc>
      </w:tr>
      <w:tr>
        <w:tc>
          <w:tcPr>
            <w:tcW w:type="dxa" w:w="1728"/>
          </w:tcPr>
          <w:p>
            <w:r>
              <w:t>M18</w:t>
            </w:r>
          </w:p>
        </w:tc>
        <w:tc>
          <w:tcPr>
            <w:tcW w:type="dxa" w:w="1728"/>
          </w:tcPr>
          <w:p>
            <w:r>
              <w:t>200</w:t>
            </w:r>
          </w:p>
        </w:tc>
        <w:tc>
          <w:tcPr>
            <w:tcW w:type="dxa" w:w="1728"/>
          </w:tcPr>
          <w:p>
            <w:r>
              <w:t>40</w:t>
            </w:r>
          </w:p>
        </w:tc>
        <w:tc>
          <w:tcPr>
            <w:tcW w:type="dxa" w:w="1728"/>
          </w:tcPr>
          <w:p>
            <w:r>
              <w:t>5</w:t>
            </w:r>
          </w:p>
        </w:tc>
        <w:tc>
          <w:tcPr>
            <w:tcW w:type="dxa" w:w="1728"/>
          </w:tcPr>
          <w:p>
            <w:r>
              <w:t>67,460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r>
        <w:rPr>
          <w:b w:val="0"/>
          <w:sz w:val="18"/>
        </w:rPr>
        <w:br/>
        <w:t>Note: Projections are modelled estimates based on SaaS benchmarks for developer tools (similar: Railway.app, PlanetScale early growth). Not audited. Conservative base case.</w:t>
      </w:r>
    </w:p>
    <w:p>
      <w:pPr>
        <w:pStyle w:val="Heading2"/>
      </w:pPr>
      <w:r>
        <w:t>4. Cost Structure (Post-Funding, Monthly)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Monthly Cost</w:t>
            </w:r>
          </w:p>
        </w:tc>
      </w:tr>
      <w:tr>
        <w:tc>
          <w:tcPr>
            <w:tcW w:type="dxa" w:w="4320"/>
          </w:tcPr>
          <w:p>
            <w:r>
              <w:t>2× Rust engineers (contract)</w:t>
            </w:r>
          </w:p>
        </w:tc>
        <w:tc>
          <w:tcPr>
            <w:tcW w:type="dxa" w:w="4320"/>
          </w:tcPr>
          <w:p>
            <w:r>
              <w:t>€15,000 / month</w:t>
            </w:r>
          </w:p>
        </w:tc>
      </w:tr>
      <w:tr>
        <w:tc>
          <w:tcPr>
            <w:tcW w:type="dxa" w:w="4320"/>
          </w:tcPr>
          <w:p>
            <w:r>
              <w:t>Infrastructure (Fly.io scale-up to GPU)</w:t>
            </w:r>
          </w:p>
        </w:tc>
        <w:tc>
          <w:tcPr>
            <w:tcW w:type="dxa" w:w="4320"/>
          </w:tcPr>
          <w:p>
            <w:r>
              <w:t>€2,000 / month</w:t>
            </w:r>
          </w:p>
        </w:tc>
      </w:tr>
      <w:tr>
        <w:tc>
          <w:tcPr>
            <w:tcW w:type="dxa" w:w="4320"/>
          </w:tcPr>
          <w:p>
            <w:r>
              <w:t>Developer marketing (conferences, content)</w:t>
            </w:r>
          </w:p>
        </w:tc>
        <w:tc>
          <w:tcPr>
            <w:tcW w:type="dxa" w:w="4320"/>
          </w:tcPr>
          <w:p>
            <w:r>
              <w:t>€1,500 / month</w:t>
            </w:r>
          </w:p>
        </w:tc>
      </w:tr>
      <w:tr>
        <w:tc>
          <w:tcPr>
            <w:tcW w:type="dxa" w:w="4320"/>
          </w:tcPr>
          <w:p>
            <w:r>
              <w:t>Legal / compliance (part-time counsel)</w:t>
            </w:r>
          </w:p>
        </w:tc>
        <w:tc>
          <w:tcPr>
            <w:tcW w:type="dxa" w:w="4320"/>
          </w:tcPr>
          <w:p>
            <w:r>
              <w:t>€500 / month</w:t>
            </w:r>
          </w:p>
        </w:tc>
      </w:tr>
      <w:tr>
        <w:tc>
          <w:tcPr>
            <w:tcW w:type="dxa" w:w="4320"/>
          </w:tcPr>
          <w:p>
            <w:r>
              <w:t>Founder salary (modest)</w:t>
            </w:r>
          </w:p>
        </w:tc>
        <w:tc>
          <w:tcPr>
            <w:tcW w:type="dxa" w:w="4320"/>
          </w:tcPr>
          <w:p>
            <w:r>
              <w:t>€3,000 / month</w:t>
            </w:r>
          </w:p>
        </w:tc>
      </w:tr>
      <w:tr>
        <w:tc>
          <w:tcPr>
            <w:tcW w:type="dxa" w:w="4320"/>
          </w:tcPr>
          <w:p>
            <w:r>
              <w:t>Total monthly burn</w:t>
            </w:r>
          </w:p>
        </w:tc>
        <w:tc>
          <w:tcPr>
            <w:tcW w:type="dxa" w:w="4320"/>
          </w:tcPr>
          <w:p>
            <w:r>
              <w:t>~€22,000 / month</w:t>
            </w:r>
          </w:p>
        </w:tc>
      </w:tr>
    </w:tbl>
    <w:p>
      <w:pPr>
        <w:pStyle w:val="Heading2"/>
      </w:pPr>
      <w:r>
        <w:t>5. Funding Requirements &amp; Runway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type="dxa" w:w="4320"/>
          </w:tcPr>
          <w:p>
            <w:r>
              <w:t>Raise amount</w:t>
            </w:r>
          </w:p>
        </w:tc>
        <w:tc>
          <w:tcPr>
            <w:tcW w:type="dxa" w:w="4320"/>
          </w:tcPr>
          <w:p>
            <w:r>
              <w:t>€150,000 – €500,000</w:t>
            </w:r>
          </w:p>
        </w:tc>
      </w:tr>
      <w:tr>
        <w:tc>
          <w:tcPr>
            <w:tcW w:type="dxa" w:w="4320"/>
          </w:tcPr>
          <w:p>
            <w:r>
              <w:t>Runway at €150k</w:t>
            </w:r>
          </w:p>
        </w:tc>
        <w:tc>
          <w:tcPr>
            <w:tcW w:type="dxa" w:w="4320"/>
          </w:tcPr>
          <w:p>
            <w:r>
              <w:t>~7 months (break-even target: Month 6)</w:t>
            </w:r>
          </w:p>
        </w:tc>
      </w:tr>
      <w:tr>
        <w:tc>
          <w:tcPr>
            <w:tcW w:type="dxa" w:w="4320"/>
          </w:tcPr>
          <w:p>
            <w:r>
              <w:t>Runway at €500k</w:t>
            </w:r>
          </w:p>
        </w:tc>
        <w:tc>
          <w:tcPr>
            <w:tcW w:type="dxa" w:w="4320"/>
          </w:tcPr>
          <w:p>
            <w:r>
              <w:t>~22 months (Series A prep at Month 12)</w:t>
            </w:r>
          </w:p>
        </w:tc>
      </w:tr>
      <w:tr>
        <w:tc>
          <w:tcPr>
            <w:tcW w:type="dxa" w:w="4320"/>
          </w:tcPr>
          <w:p>
            <w:r>
              <w:t>Break-even MRR required</w:t>
            </w:r>
          </w:p>
        </w:tc>
        <w:tc>
          <w:tcPr>
            <w:tcW w:type="dxa" w:w="4320"/>
          </w:tcPr>
          <w:p>
            <w:r>
              <w:t>~€22,000 (≈ 100 Tier 2 + 15 Tier 3 + 2 Tier 4)</w:t>
            </w:r>
          </w:p>
        </w:tc>
      </w:tr>
      <w:tr>
        <w:tc>
          <w:tcPr>
            <w:tcW w:type="dxa" w:w="4320"/>
          </w:tcPr>
          <w:p>
            <w:r>
              <w:t>Valuation basis</w:t>
            </w:r>
          </w:p>
        </w:tc>
        <w:tc>
          <w:tcPr>
            <w:tcW w:type="dxa" w:w="4320"/>
          </w:tcPr>
          <w:p>
            <w:r>
              <w:t>To be discussed — comparable: pre-revenue dev tools €1–3M pre-money</w:t>
            </w:r>
          </w:p>
        </w:tc>
      </w:tr>
    </w:tbl>
    <w:p>
      <w:pPr>
        <w:pStyle w:val="Heading2"/>
      </w:pPr>
      <w:r>
        <w:t>6. Infrastructure Costs (Current)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Service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Cost</w:t>
            </w:r>
          </w:p>
        </w:tc>
      </w:tr>
      <w:tr>
        <w:tc>
          <w:tcPr>
            <w:tcW w:type="dxa" w:w="4320"/>
          </w:tcPr>
          <w:p>
            <w:r>
              <w:t>Fly.io (ternlang-api)</w:t>
            </w:r>
          </w:p>
        </w:tc>
        <w:tc>
          <w:tcPr>
            <w:tcW w:type="dxa" w:w="4320"/>
          </w:tcPr>
          <w:p>
            <w:r>
              <w:t>~€5–10/month (shared-cpu-1x 256MB)</w:t>
            </w:r>
          </w:p>
        </w:tc>
      </w:tr>
      <w:tr>
        <w:tc>
          <w:tcPr>
            <w:tcW w:type="dxa" w:w="4320"/>
          </w:tcPr>
          <w:p>
            <w:r>
              <w:t>Domain (ternlang.com)</w:t>
            </w:r>
          </w:p>
        </w:tc>
        <w:tc>
          <w:tcPr>
            <w:tcW w:type="dxa" w:w="4320"/>
          </w:tcPr>
          <w:p>
            <w:r>
              <w:t>~€12/year (GoDaddy)</w:t>
            </w:r>
          </w:p>
        </w:tc>
      </w:tr>
      <w:tr>
        <w:tc>
          <w:tcPr>
            <w:tcW w:type="dxa" w:w="4320"/>
          </w:tcPr>
          <w:p>
            <w:r>
              <w:t>Email routing (ImprovMX)</w:t>
            </w:r>
          </w:p>
        </w:tc>
        <w:tc>
          <w:tcPr>
            <w:tcW w:type="dxa" w:w="4320"/>
          </w:tcPr>
          <w:p>
            <w:r>
              <w:t>€0 (free tier)</w:t>
            </w:r>
          </w:p>
        </w:tc>
      </w:tr>
      <w:tr>
        <w:tc>
          <w:tcPr>
            <w:tcW w:type="dxa" w:w="4320"/>
          </w:tcPr>
          <w:p>
            <w:r>
              <w:t>Stripe (payment processing)</w:t>
            </w:r>
          </w:p>
        </w:tc>
        <w:tc>
          <w:tcPr>
            <w:tcW w:type="dxa" w:w="4320"/>
          </w:tcPr>
          <w:p>
            <w:r>
              <w:t>2.9% + €0.30 per transaction (no monthly fee)</w:t>
            </w:r>
          </w:p>
        </w:tc>
      </w:tr>
      <w:tr>
        <w:tc>
          <w:tcPr>
            <w:tcW w:type="dxa" w:w="4320"/>
          </w:tcPr>
          <w:p>
            <w:r>
              <w:t>Total current monthly burn</w:t>
            </w:r>
          </w:p>
        </w:tc>
        <w:tc>
          <w:tcPr>
            <w:tcW w:type="dxa" w:w="4320"/>
          </w:tcPr>
          <w:p>
            <w:r>
              <w:t>~€10–15 (founder infrastructure only)</w:t>
            </w:r>
          </w:p>
        </w:tc>
      </w:tr>
    </w:tbl>
    <w:p>
      <w:pPr>
        <w:pStyle w:val="Heading2"/>
      </w:pPr>
      <w:r>
        <w:t>7. Comparable Companies (Benchmarks)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Company</w:t>
            </w:r>
          </w:p>
        </w:tc>
        <w:tc>
          <w:tcPr>
            <w:tcW w:type="dxa" w:w="4320"/>
          </w:tcPr>
          <w:p>
            <w:r>
              <w:rPr>
                <w:b/>
              </w:rPr>
              <w:t>Relevance</w:t>
            </w:r>
          </w:p>
        </w:tc>
      </w:tr>
      <w:tr>
        <w:tc>
          <w:tcPr>
            <w:tcW w:type="dxa" w:w="4320"/>
          </w:tcPr>
          <w:p>
            <w:r>
              <w:t>Railway.app</w:t>
            </w:r>
          </w:p>
        </w:tc>
        <w:tc>
          <w:tcPr>
            <w:tcW w:type="dxa" w:w="4320"/>
          </w:tcPr>
          <w:p>
            <w:r>
              <w:t>Developer infra — $25M ARR, raised $22M. Open-core, similar pricing model.</w:t>
            </w:r>
          </w:p>
        </w:tc>
      </w:tr>
      <w:tr>
        <w:tc>
          <w:tcPr>
            <w:tcW w:type="dxa" w:w="4320"/>
          </w:tcPr>
          <w:p>
            <w:r>
              <w:t>PlanetScale (early)</w:t>
            </w:r>
          </w:p>
        </w:tc>
        <w:tc>
          <w:tcPr>
            <w:tcW w:type="dxa" w:w="4320"/>
          </w:tcPr>
          <w:p>
            <w:r>
              <w:t>Database-as-a-service — similar Tier 1 free / Tier 2 paid structure.</w:t>
            </w:r>
          </w:p>
        </w:tc>
      </w:tr>
      <w:tr>
        <w:tc>
          <w:tcPr>
            <w:tcW w:type="dxa" w:w="4320"/>
          </w:tcPr>
          <w:p>
            <w:r>
              <w:t>Fly.io</w:t>
            </w:r>
          </w:p>
        </w:tc>
        <w:tc>
          <w:tcPr>
            <w:tcW w:type="dxa" w:w="4320"/>
          </w:tcPr>
          <w:p>
            <w:r>
              <w:t>~$10M ARR before Series A. Infrastructure for developers.</w:t>
            </w:r>
          </w:p>
        </w:tc>
      </w:tr>
      <w:tr>
        <w:tc>
          <w:tcPr>
            <w:tcW w:type="dxa" w:w="4320"/>
          </w:tcPr>
          <w:p>
            <w:r>
              <w:t>LangSmith (LangChain)</w:t>
            </w:r>
          </w:p>
        </w:tc>
        <w:tc>
          <w:tcPr>
            <w:tcW w:type="dxa" w:w="4320"/>
          </w:tcPr>
          <w:p>
            <w:r>
              <w:t>AI ops/observability — $16M raised, pricing at $39–$99/mo per seat.</w:t>
            </w:r>
          </w:p>
        </w:tc>
      </w:tr>
    </w:tbl>
    <w:p>
      <w:r>
        <w:rPr>
          <w:b w:val="0"/>
          <w:sz w:val="20"/>
        </w:rPr>
        <w:t>Note: Ternlang sits at the intersection of developer tools AND AI reasoning infrastructure — dual tailwinds.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Ternlang — Financial Data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