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QuickVoice Audit Remediation and Hardening Report</w:t>
      </w:r>
    </w:p>
    <w:p>
      <w:pPr>
        <w:keepLines w:val="0"/>
      </w:pPr>
      <w:r>
        <w:rPr>
          <w:b/>
        </w:rPr>
        <w:t>Prepared:</w:t>
      </w:r>
      <w:r>
        <w:t xml:space="preserve"> July 27, 2026</w:t>
      </w:r>
    </w:p>
    <w:p>
      <w:pPr>
        <w:keepLines w:val="0"/>
      </w:pPr>
      <w:r>
        <w:rPr>
          <w:b/>
        </w:rPr>
        <w:t>Review branch:</w:t>
      </w:r>
      <w:r>
        <w:t xml:space="preserve"> </w:t>
      </w:r>
      <w:r>
        <w:rPr>
          <w:rFonts w:ascii="Aptos Mono" w:hAnsi="Aptos Mono"/>
          <w:color w:val="0F766E"/>
          <w:sz w:val="18"/>
        </w:rPr>
        <w:t>agent/quickvoice-audit-remediation-review</w:t>
      </w:r>
    </w:p>
    <w:p>
      <w:pPr>
        <w:keepLines w:val="0"/>
      </w:pPr>
      <w:r>
        <w:rPr>
          <w:b/>
        </w:rPr>
        <w:t>Intended base:</w:t>
      </w:r>
      <w:r>
        <w:t xml:space="preserve"> </w:t>
      </w:r>
      <w:r>
        <w:rPr>
          <w:rFonts w:ascii="Aptos Mono" w:hAnsi="Aptos Mono"/>
          <w:color w:val="0F766E"/>
          <w:sz w:val="18"/>
        </w:rPr>
        <w:t>origin/main</w:t>
      </w:r>
    </w:p>
    <w:p>
      <w:pPr>
        <w:keepLines w:val="0"/>
      </w:pPr>
      <w:r>
        <w:rPr>
          <w:b/>
        </w:rPr>
        <w:t>Status:</w:t>
      </w:r>
      <w:r>
        <w:t xml:space="preserve"> Implementation complete and prepared for pull-request review</w:t>
      </w:r>
    </w:p>
    <w:p>
      <w:pPr>
        <w:pStyle w:val="TOCHeading"/>
        <w:spacing w:before="120"/>
      </w:pPr>
      <w:r>
        <w:t>Table of Contents</w:t>
      </w:r>
    </w:p>
    <w:p>
      <w:fldSimple w:instr="TOC \o &quot;1-3&quot; \h \z \u">
        <w:r>
          <w:t>Right-click and select Update Field to refresh the table of contents.</w:t>
        </w:r>
      </w:fldSimple>
      <w:r>
        <w:br w:type="page"/>
      </w:r>
    </w:p>
    <w:p>
      <w:pPr>
        <w:pStyle w:val="Heading1"/>
      </w:pPr>
      <w:r>
        <w:t>Document Purpose</w:t>
      </w:r>
    </w:p>
    <w:p>
      <w:pPr>
        <w:keepLines w:val="0"/>
      </w:pPr>
      <w:r>
        <w:t>This report explains the QuickVoice changes prepared after the repository, security, and UI/UX audits. It is intended to give engineering, security, product, operations, and legal reviewers a single detailed account of:</w:t>
      </w:r>
    </w:p>
    <w:p>
      <w:pPr>
        <w:pStyle w:val="ListBullet"/>
        <w:spacing w:after="40"/>
      </w:pPr>
      <w:r>
        <w:t>what changed;</w:t>
      </w:r>
    </w:p>
    <w:p>
      <w:pPr>
        <w:pStyle w:val="ListBullet"/>
        <w:spacing w:after="40"/>
      </w:pPr>
      <w:r>
        <w:t>why the change was necessary;</w:t>
      </w:r>
    </w:p>
    <w:p>
      <w:pPr>
        <w:pStyle w:val="ListBullet"/>
        <w:spacing w:after="40"/>
      </w:pPr>
      <w:r>
        <w:t>how runtime behavior is different;</w:t>
      </w:r>
    </w:p>
    <w:p>
      <w:pPr>
        <w:pStyle w:val="ListBullet"/>
        <w:spacing w:after="40"/>
      </w:pPr>
      <w:r>
        <w:t>which risks were reduced;</w:t>
      </w:r>
    </w:p>
    <w:p>
      <w:pPr>
        <w:pStyle w:val="ListBullet"/>
        <w:spacing w:after="40"/>
      </w:pPr>
      <w:r>
        <w:t>which deployment requirements were introduced;</w:t>
      </w:r>
    </w:p>
    <w:p>
      <w:pPr>
        <w:pStyle w:val="ListBullet"/>
        <w:spacing w:after="40"/>
      </w:pPr>
      <w:r>
        <w:t>how the implementation was verified; and</w:t>
      </w:r>
    </w:p>
    <w:p>
      <w:pPr>
        <w:pStyle w:val="ListBullet"/>
        <w:spacing w:after="40"/>
      </w:pPr>
      <w:r>
        <w:t>what reviewers should examine before merge and release.</w:t>
      </w:r>
    </w:p>
    <w:p>
      <w:pPr>
        <w:keepLines w:val="0"/>
      </w:pPr>
      <w:r>
        <w:t xml:space="preserve">This is a change report, not a claim that software can be made risk-free. The historical </w:t>
      </w:r>
      <w:r>
        <w:rPr>
          <w:rFonts w:ascii="Aptos Mono" w:hAnsi="Aptos Mono"/>
          <w:color w:val="0F766E"/>
          <w:sz w:val="18"/>
        </w:rPr>
        <w:t>audit.md</w:t>
      </w:r>
      <w:r>
        <w:t xml:space="preserve"> and </w:t>
      </w:r>
      <w:r>
        <w:rPr>
          <w:rFonts w:ascii="Aptos Mono" w:hAnsi="Aptos Mono"/>
          <w:color w:val="0F766E"/>
          <w:sz w:val="18"/>
        </w:rPr>
        <w:t>ui_ux_audit.md</w:t>
      </w:r>
      <w:r>
        <w:t xml:space="preserve"> files remain point-in-time evidence of earlier repository states. Their findings should not be read as a current defect list without checking the implementation and the pull-request diff.</w:t>
      </w:r>
    </w:p>
    <w:p>
      <w:pPr>
        <w:pStyle w:val="Heading1"/>
      </w:pPr>
      <w:r>
        <w:t>Executive Summary</w:t>
      </w:r>
    </w:p>
    <w:p>
      <w:pPr>
        <w:keepLines w:val="0"/>
      </w:pPr>
      <w:r>
        <w:t>The remediation moves QuickVoice from an audit-era implementation with several implicit trust assumptions into a more explicit, fail-closed operating model. The work is concentrated in nine areas:</w:t>
      </w:r>
    </w:p>
    <w:p>
      <w:pPr>
        <w:pStyle w:val="ListNumber"/>
        <w:spacing w:after="40"/>
      </w:pPr>
      <w:r>
        <w:rPr>
          <w:b/>
        </w:rPr>
        <w:t>Permissive licensing:</w:t>
      </w:r>
      <w:r>
        <w:t xml:space="preserve"> repository licensing and related public copy move</w:t>
      </w:r>
    </w:p>
    <w:p>
      <w:pPr>
        <w:keepLines w:val="0"/>
      </w:pPr>
      <w:r>
        <w:t>from AGPL-3.0-only to MIT.</w:t>
      </w:r>
    </w:p>
    <w:p>
      <w:pPr>
        <w:pStyle w:val="ListNumber"/>
        <w:spacing w:after="40"/>
      </w:pPr>
      <w:r>
        <w:rPr>
          <w:b/>
        </w:rPr>
        <w:t>Authentication and secret safety:</w:t>
      </w:r>
      <w:r>
        <w:t xml:space="preserve"> internal API credentials use</w:t>
      </w:r>
    </w:p>
    <w:p>
      <w:pPr>
        <w:keepLines w:val="0"/>
      </w:pPr>
      <w:r>
        <w:t>timing-safe comparison; integration secrets require a dedicated encryption key; redacted secrets survive edits without being erased; secret references are scoped and cleaned up.</w:t>
      </w:r>
    </w:p>
    <w:p>
      <w:pPr>
        <w:pStyle w:val="ListNumber"/>
        <w:spacing w:after="40"/>
      </w:pPr>
      <w:r>
        <w:rPr>
          <w:b/>
        </w:rPr>
        <w:t>Tenant and data integrity:</w:t>
      </w:r>
      <w:r>
        <w:t xml:space="preserve"> writes and destructive operations validate</w:t>
      </w:r>
    </w:p>
    <w:p>
      <w:pPr>
        <w:keepLines w:val="0"/>
      </w:pPr>
      <w:r>
        <w:t>organization ownership, call ingestion is idempotent, Stripe usage events are idempotent, and derived counters are recalculated instead of blindly incremented.</w:t>
      </w:r>
    </w:p>
    <w:p>
      <w:pPr>
        <w:pStyle w:val="ListNumber"/>
        <w:spacing w:after="40"/>
      </w:pPr>
      <w:r>
        <w:rPr>
          <w:b/>
        </w:rPr>
        <w:t>Resource lifecycle management:</w:t>
      </w:r>
      <w:r>
        <w:t xml:space="preserve"> deleting agents, calls, knowledge</w:t>
      </w:r>
    </w:p>
    <w:p>
      <w:pPr>
        <w:keepLines w:val="0"/>
      </w:pPr>
      <w:r>
        <w:t>sources, tools, or organizations now cleans up associated provider and object-storage resources instead of only deleting database rows.</w:t>
      </w:r>
    </w:p>
    <w:p>
      <w:pPr>
        <w:pStyle w:val="ListNumber"/>
        <w:spacing w:after="40"/>
      </w:pPr>
      <w:r>
        <w:rPr>
          <w:b/>
        </w:rPr>
        <w:t>Retention and privacy controls:</w:t>
      </w:r>
      <w:r>
        <w:t xml:space="preserve"> per-agent transcript retention,</w:t>
      </w:r>
    </w:p>
    <w:p>
      <w:pPr>
        <w:keepLines w:val="0"/>
      </w:pPr>
      <w:r>
        <w:t>recording deletion, failed-KB cleanup, MCP log cleanup, zero-PII controls, and bounded cleanup batches are implemented.</w:t>
      </w:r>
    </w:p>
    <w:p>
      <w:pPr>
        <w:pStyle w:val="ListNumber"/>
        <w:spacing w:after="40"/>
      </w:pPr>
      <w:r>
        <w:rPr>
          <w:b/>
        </w:rPr>
        <w:t>Knowledge-base reliability:</w:t>
      </w:r>
      <w:r>
        <w:t xml:space="preserve"> ingestion is consolidated on BullMQ,</w:t>
      </w:r>
    </w:p>
    <w:p>
      <w:pPr>
        <w:keepLines w:val="0"/>
      </w:pPr>
      <w:r>
        <w:t>one document is isolated per job, progress and sanitized errors are stored, automatic retries are visible, and users can retry eligible failed documents.</w:t>
      </w:r>
    </w:p>
    <w:p>
      <w:pPr>
        <w:pStyle w:val="ListNumber"/>
        <w:spacing w:after="40"/>
      </w:pPr>
      <w:r>
        <w:rPr>
          <w:b/>
        </w:rPr>
        <w:t>Billing and outbound safety:</w:t>
      </w:r>
      <w:r>
        <w:t xml:space="preserve"> the console receives real billing-period</w:t>
      </w:r>
    </w:p>
    <w:p>
      <w:pPr>
        <w:keepLines w:val="0"/>
      </w:pPr>
      <w:r>
        <w:t>usage; upload size, extension, MIME type, object key, tenant namespace, and recipient limits are enforced for outbound batches.</w:t>
      </w:r>
    </w:p>
    <w:p>
      <w:pPr>
        <w:pStyle w:val="ListNumber"/>
        <w:spacing w:after="40"/>
      </w:pPr>
      <w:r>
        <w:rPr>
          <w:b/>
        </w:rPr>
        <w:t>Console and API completeness:</w:t>
      </w:r>
      <w:r>
        <w:t xml:space="preserve"> agent preview and deletion workflows,</w:t>
      </w:r>
    </w:p>
    <w:p>
      <w:pPr>
        <w:keepLines w:val="0"/>
      </w:pPr>
      <w:r>
        <w:t>privacy controls, KB progress/retry, date filtering, billing usage, redacted secret editing, and expanded OpenAPI coverage are wired end to end.</w:t>
      </w:r>
    </w:p>
    <w:p>
      <w:pPr>
        <w:pStyle w:val="ListNumber"/>
        <w:spacing w:after="40"/>
      </w:pPr>
      <w:r>
        <w:rPr>
          <w:b/>
        </w:rPr>
        <w:t>Supply-chain and CI hardening:</w:t>
      </w:r>
      <w:r>
        <w:t xml:space="preserve"> vulnerable dependency paths are upgraded</w:t>
      </w:r>
    </w:p>
    <w:p>
      <w:pPr>
        <w:keepLines w:val="0"/>
      </w:pPr>
      <w:r>
        <w:t xml:space="preserve">or overridden, the audit gate runs at </w:t>
      </w:r>
      <w:r>
        <w:rPr>
          <w:rFonts w:ascii="Aptos Mono" w:hAnsi="Aptos Mono"/>
          <w:color w:val="0F766E"/>
          <w:sz w:val="18"/>
        </w:rPr>
        <w:t>low</w:t>
      </w:r>
      <w:r>
        <w:t xml:space="preserve"> severity with zero suppressions, Python dependencies are audited, and warnings fail the AI test job.</w:t>
      </w:r>
    </w:p>
    <w:p>
      <w:pPr>
        <w:keepLines w:val="0"/>
      </w:pPr>
      <w:r>
        <w:t>The primary operational tradeoff is deliberate: destructive operations can now fail if external cleanup cannot be completed. This prevents silent orphaned recordings, vectors, uploads, phone numbers, subscriptions, and secrets, but it also makes provider availability part of deletion reliability.</w:t>
      </w:r>
    </w:p>
    <w:p>
      <w:pPr>
        <w:pStyle w:val="Heading1"/>
      </w:pPr>
      <w:r>
        <w:t>Scope and Boundaries</w:t>
      </w:r>
    </w:p>
    <w:p>
      <w:pPr>
        <w:pStyle w:val="Heading2"/>
      </w:pPr>
      <w:r>
        <w:t>Included</w:t>
      </w:r>
    </w:p>
    <w:p>
      <w:pPr>
        <w:keepLines w:val="0"/>
      </w:pPr>
      <w:r>
        <w:t>The review branch contains the completed remediation across:</w:t>
      </w:r>
    </w:p>
    <w:p>
      <w:pPr>
        <w:pStyle w:val="ListBullet"/>
        <w:spacing w:after="40"/>
      </w:pPr>
      <w:r>
        <w:t>root repository metadata, licensing, scripts, task definitions, CI, and</w:t>
      </w:r>
    </w:p>
    <w:p>
      <w:pPr>
        <w:keepLines w:val="0"/>
      </w:pPr>
      <w:r>
        <w:t>dependency policy;</w:t>
      </w:r>
    </w:p>
    <w:p>
      <w:pPr>
        <w:pStyle w:val="ListBullet"/>
        <w:spacing w:after="40"/>
      </w:pPr>
      <w:r>
        <w:t>the Express/TypeScript API server;</w:t>
      </w:r>
    </w:p>
    <w:p>
      <w:pPr>
        <w:pStyle w:val="ListBullet"/>
        <w:spacing w:after="40"/>
      </w:pPr>
      <w:r>
        <w:t>the Python FastAPI and LiveKit AI service;</w:t>
      </w:r>
    </w:p>
    <w:p>
      <w:pPr>
        <w:pStyle w:val="ListBullet"/>
        <w:spacing w:after="40"/>
      </w:pPr>
      <w:r>
        <w:t>the authenticated Next.js console;</w:t>
      </w:r>
    </w:p>
    <w:p>
      <w:pPr>
        <w:pStyle w:val="ListBullet"/>
        <w:spacing w:after="40"/>
      </w:pPr>
      <w:r>
        <w:t>the public Next.js site where licensing or dependency compatibility changed;</w:t>
      </w:r>
    </w:p>
    <w:p>
      <w:pPr>
        <w:pStyle w:val="ListBullet"/>
        <w:spacing w:after="40"/>
      </w:pPr>
      <w:r>
        <w:t>API documentation, test guides, launch copy, positioning, and sales material;</w:t>
      </w:r>
    </w:p>
    <w:p>
      <w:pPr>
        <w:pStyle w:val="ListBullet"/>
        <w:spacing w:after="40"/>
      </w:pPr>
      <w:r>
        <w:t>focused unit, route, service, source-contract, and security tests; and</w:t>
      </w:r>
    </w:p>
    <w:p>
      <w:pPr>
        <w:pStyle w:val="ListBullet"/>
        <w:spacing w:after="40"/>
      </w:pPr>
      <w:r>
        <w:t>this Markdown report and its generated DOCX counterpart.</w:t>
      </w:r>
    </w:p>
    <w:p>
      <w:pPr>
        <w:pStyle w:val="Heading2"/>
      </w:pPr>
      <w:r>
        <w:t>Deliberately Excluded</w:t>
      </w:r>
    </w:p>
    <w:p>
      <w:pPr>
        <w:keepLines w:val="0"/>
      </w:pPr>
      <w:r>
        <w:t>The commit does not include known local-only or separately owned workspace changes, including:</w:t>
      </w:r>
    </w:p>
    <w:p>
      <w:pPr>
        <w:pStyle w:val="ListBullet"/>
        <w:spacing w:after="40"/>
      </w:pPr>
      <w:r>
        <w:rPr>
          <w:rFonts w:ascii="Aptos Mono" w:hAnsi="Aptos Mono"/>
          <w:color w:val="0F766E"/>
          <w:sz w:val="18"/>
        </w:rPr>
        <w:t>.mcp.json</w:t>
      </w:r>
      <w:r>
        <w:t>;</w:t>
      </w:r>
    </w:p>
    <w:p>
      <w:pPr>
        <w:pStyle w:val="ListBullet"/>
        <w:spacing w:after="40"/>
      </w:pPr>
      <w:r>
        <w:rPr>
          <w:rFonts w:ascii="Aptos Mono" w:hAnsi="Aptos Mono"/>
          <w:color w:val="0F766E"/>
          <w:sz w:val="18"/>
        </w:rPr>
        <w:t>.codex/</w:t>
      </w:r>
      <w:r>
        <w:t xml:space="preserve">, </w:t>
      </w:r>
      <w:r>
        <w:rPr>
          <w:rFonts w:ascii="Aptos Mono" w:hAnsi="Aptos Mono"/>
          <w:color w:val="0F766E"/>
          <w:sz w:val="18"/>
        </w:rPr>
        <w:t>.superpowers/</w:t>
      </w:r>
      <w:r>
        <w:t xml:space="preserve">, and </w:t>
      </w:r>
      <w:r>
        <w:rPr>
          <w:rFonts w:ascii="Aptos Mono" w:hAnsi="Aptos Mono"/>
          <w:color w:val="0F766E"/>
          <w:sz w:val="18"/>
        </w:rPr>
        <w:t>.tmp/</w:t>
      </w:r>
      <w:r>
        <w:t>;</w:t>
      </w:r>
    </w:p>
    <w:p>
      <w:pPr>
        <w:pStyle w:val="ListBullet"/>
        <w:spacing w:after="40"/>
      </w:pPr>
      <w:r>
        <w:rPr>
          <w:rFonts w:ascii="Aptos Mono" w:hAnsi="Aptos Mono"/>
          <w:color w:val="0F766E"/>
          <w:sz w:val="18"/>
        </w:rPr>
        <w:t>scripts/codex_product_video_tutorial.py</w:t>
      </w:r>
      <w:r>
        <w:t xml:space="preserve"> and its test;</w:t>
      </w:r>
    </w:p>
    <w:p>
      <w:pPr>
        <w:pStyle w:val="ListBullet"/>
        <w:spacing w:after="40"/>
      </w:pPr>
      <w:r>
        <w:rPr>
          <w:rFonts w:ascii="Aptos Mono" w:hAnsi="Aptos Mono"/>
          <w:color w:val="0F766E"/>
          <w:sz w:val="18"/>
        </w:rPr>
        <w:t>scripts/enrich_segment_decision_makers.py</w:t>
      </w:r>
      <w:r>
        <w:t xml:space="preserve"> and its test; and</w:t>
      </w:r>
    </w:p>
    <w:p>
      <w:pPr>
        <w:pStyle w:val="ListBullet"/>
        <w:spacing w:after="40"/>
      </w:pPr>
      <w:r>
        <w:t xml:space="preserve">the existing untracked </w:t>
      </w:r>
      <w:r>
        <w:rPr>
          <w:rFonts w:ascii="Aptos Mono" w:hAnsi="Aptos Mono"/>
          <w:color w:val="0F766E"/>
          <w:sz w:val="18"/>
        </w:rPr>
        <w:t>video-tutorials/</w:t>
      </w:r>
      <w:r>
        <w:t xml:space="preserve"> directory.</w:t>
      </w:r>
    </w:p>
    <w:p>
      <w:pPr>
        <w:keepLines w:val="0"/>
      </w:pPr>
      <w:r>
        <w:t>Keeping these files out of the remediation commit prevents unrelated tutorial, workspace, and prospecting work from being coupled to the security and reliability review.</w:t>
      </w:r>
    </w:p>
    <w:p>
      <w:pPr>
        <w:pStyle w:val="Heading1"/>
      </w:pPr>
      <w:r>
        <w:t>Architecture-Level Change</w:t>
      </w:r>
    </w:p>
    <w:p>
      <w:pPr>
        <w:keepLines w:val="0"/>
      </w:pPr>
      <w:r>
        <w:t>Before this remediation, several workflows treated the database as the sole source of lifecycle truth even when the product also created external resources. For example, deleting a row did not necessarily delete an S3 object, a vectorized knowledge document, a purchased number, or a Stripe subscription. Other workflows accepted a user-provided reference and relied on later code to use it safely.</w:t>
      </w:r>
    </w:p>
    <w:p>
      <w:pPr>
        <w:keepLines w:val="0"/>
      </w:pPr>
      <w:r>
        <w:t>The revised design applies four common rules:</w:t>
      </w:r>
    </w:p>
    <w:p>
      <w:pPr>
        <w:pStyle w:val="ListNumber"/>
        <w:spacing w:after="40"/>
      </w:pPr>
      <w:r>
        <w:rPr>
          <w:b/>
        </w:rPr>
        <w:t>Authenticate and scope first.</w:t>
      </w:r>
      <w:r>
        <w:t xml:space="preserve"> Resolve the active organization and prove</w:t>
      </w:r>
    </w:p>
    <w:p>
      <w:pPr>
        <w:keepLines w:val="0"/>
      </w:pPr>
      <w:r>
        <w:t>ownership before reading, linking, retrying, updating, or deleting a resource.</w:t>
      </w:r>
    </w:p>
    <w:p>
      <w:pPr>
        <w:pStyle w:val="ListNumber"/>
        <w:spacing w:after="40"/>
      </w:pPr>
      <w:r>
        <w:rPr>
          <w:b/>
        </w:rPr>
        <w:t>Validate the reference, not only the payload shape.</w:t>
      </w:r>
      <w:r>
        <w:t xml:space="preserve"> Uploaded object keys</w:t>
      </w:r>
    </w:p>
    <w:p>
      <w:pPr>
        <w:keepLines w:val="0"/>
      </w:pPr>
      <w:r>
        <w:t>must belong to the active organization's namespace and match a server-issued UUID-based format.</w:t>
      </w:r>
    </w:p>
    <w:p>
      <w:pPr>
        <w:pStyle w:val="ListNumber"/>
        <w:spacing w:after="40"/>
      </w:pPr>
      <w:r>
        <w:rPr>
          <w:b/>
        </w:rPr>
        <w:t>Make retries safe.</w:t>
      </w:r>
      <w:r>
        <w:t xml:space="preserve"> Call logs, billing events, KB counters, and retry</w:t>
      </w:r>
    </w:p>
    <w:p>
      <w:pPr>
        <w:keepLines w:val="0"/>
      </w:pPr>
      <w:r>
        <w:t>claims are designed so repeated delivery does not duplicate state or usage.</w:t>
      </w:r>
    </w:p>
    <w:p>
      <w:pPr>
        <w:pStyle w:val="ListNumber"/>
        <w:spacing w:after="40"/>
      </w:pPr>
      <w:r>
        <w:rPr>
          <w:b/>
        </w:rPr>
        <w:t>Coordinate external cleanup explicitly.</w:t>
      </w:r>
      <w:r>
        <w:t xml:space="preserve"> Provider and storage cleanup</w:t>
      </w:r>
    </w:p>
    <w:p>
      <w:pPr>
        <w:keepLines w:val="0"/>
      </w:pPr>
      <w:r>
        <w:t>happens before the final destructive database operation, and failures are surfaced instead of silently ignored.</w:t>
      </w:r>
    </w:p>
    <w:p>
      <w:pPr>
        <w:keepLines w:val="0"/>
      </w:pPr>
      <w:r>
        <w:t>These rules are implemented in services and repositories, with dependency injection at cleanup boundaries so failure behavior can be tested without live providers.</w:t>
      </w:r>
    </w:p>
    <w:p>
      <w:pPr>
        <w:pStyle w:val="Heading1"/>
      </w:pPr>
      <w:r>
        <w:t>Detailed Changes</w:t>
      </w:r>
    </w:p>
    <w:p>
      <w:pPr>
        <w:pStyle w:val="Heading2"/>
      </w:pPr>
      <w:r>
        <w:t>1. License Conversion to MIT</w:t>
      </w:r>
    </w:p>
    <w:p>
      <w:pPr>
        <w:keepLines w:val="0"/>
      </w:pPr>
      <w:r>
        <w:t>The repository license changes from GNU Affero General Public License v3.0 to the MIT License.</w:t>
      </w:r>
    </w:p>
    <w:p>
      <w:pPr>
        <w:keepLines w:val="0"/>
      </w:pPr>
      <w:r>
        <w:t>Changed surfaces include:</w:t>
      </w:r>
    </w:p>
    <w:p>
      <w:pPr>
        <w:pStyle w:val="ListBullet"/>
        <w:spacing w:after="40"/>
      </w:pPr>
      <w:r>
        <w:t xml:space="preserve">the root </w:t>
      </w:r>
      <w:r>
        <w:rPr>
          <w:rFonts w:ascii="Aptos Mono" w:hAnsi="Aptos Mono"/>
          <w:color w:val="0F766E"/>
          <w:sz w:val="18"/>
        </w:rPr>
        <w:t>LICENSE</w:t>
      </w:r>
      <w:r>
        <w:t>;</w:t>
      </w:r>
    </w:p>
    <w:p>
      <w:pPr>
        <w:pStyle w:val="ListBullet"/>
        <w:spacing w:after="40"/>
      </w:pPr>
      <w:r>
        <w:t xml:space="preserve">root and workspace </w:t>
      </w:r>
      <w:r>
        <w:rPr>
          <w:rFonts w:ascii="Aptos Mono" w:hAnsi="Aptos Mono"/>
          <w:color w:val="0F766E"/>
          <w:sz w:val="18"/>
        </w:rPr>
        <w:t>package.json</w:t>
      </w:r>
      <w:r>
        <w:t xml:space="preserve"> license metadata;</w:t>
      </w:r>
    </w:p>
    <w:p>
      <w:pPr>
        <w:pStyle w:val="ListBullet"/>
        <w:spacing w:after="40"/>
      </w:pPr>
      <w:r>
        <w:rPr>
          <w:rFonts w:ascii="Aptos Mono" w:hAnsi="Aptos Mono"/>
          <w:color w:val="0F766E"/>
          <w:sz w:val="18"/>
        </w:rPr>
        <w:t>README.md</w:t>
      </w:r>
      <w:r>
        <w:t xml:space="preserve"> and </w:t>
      </w:r>
      <w:r>
        <w:rPr>
          <w:rFonts w:ascii="Aptos Mono" w:hAnsi="Aptos Mono"/>
          <w:color w:val="0F766E"/>
          <w:sz w:val="18"/>
        </w:rPr>
        <w:t>CONTRIBUTING.md</w:t>
      </w:r>
      <w:r>
        <w:t>;</w:t>
      </w:r>
    </w:p>
    <w:p>
      <w:pPr>
        <w:pStyle w:val="ListBullet"/>
        <w:spacing w:after="40"/>
      </w:pPr>
      <w:r>
        <w:t xml:space="preserve">the public </w:t>
      </w:r>
      <w:r>
        <w:rPr>
          <w:rFonts w:ascii="Aptos Mono" w:hAnsi="Aptos Mono"/>
          <w:color w:val="0F766E"/>
          <w:sz w:val="18"/>
        </w:rPr>
        <w:t>llms.txt</w:t>
      </w:r>
      <w:r>
        <w:t>, homepage structured content, FAQ, and footer;</w:t>
      </w:r>
    </w:p>
    <w:p>
      <w:pPr>
        <w:pStyle w:val="ListBullet"/>
        <w:spacing w:after="40"/>
      </w:pPr>
      <w:r>
        <w:t>launch, marketing, positioning, and sales documents; and</w:t>
      </w:r>
    </w:p>
    <w:p>
      <w:pPr>
        <w:pStyle w:val="ListBullet"/>
        <w:spacing w:after="40"/>
      </w:pPr>
      <w:r>
        <w:t>historical audit headers and references where current licensing is</w:t>
      </w:r>
    </w:p>
    <w:p>
      <w:pPr>
        <w:keepLines w:val="0"/>
      </w:pPr>
      <w:r>
        <w:t>discussed.</w:t>
      </w:r>
    </w:p>
    <w:p>
      <w:pPr>
        <w:keepLines w:val="0"/>
      </w:pPr>
      <w:r>
        <w:t>#### Behavioral and legal effect</w:t>
      </w:r>
    </w:p>
    <w:p>
      <w:pPr>
        <w:keepLines w:val="0"/>
      </w:pPr>
      <w:r>
        <w:t>MIT permits use, copying, modification, merging, publishing, distribution, sublicensing, and sale, including proprietary and commercial use, subject to retaining the copyright and permission notice. The previous AGPL network-use source-disclosure requirement no longer applies to code distributed under this MIT version.</w:t>
      </w:r>
    </w:p>
    <w:p>
      <w:pPr>
        <w:keepLines w:val="0"/>
      </w:pPr>
      <w:r>
        <w:t>#### Review requirement</w:t>
      </w:r>
    </w:p>
    <w:p>
      <w:pPr>
        <w:keepLines w:val="0"/>
      </w:pPr>
      <w:r>
        <w:t>This is not merely copy cleanup. It is a legal policy change and should be approved by the party that controls the relevant copyrights. Engineering verification cannot establish relicensing authority.</w:t>
      </w:r>
    </w:p>
    <w:p>
      <w:pPr>
        <w:pStyle w:val="Heading2"/>
      </w:pPr>
      <w:r>
        <w:t>2. Internal Authentication and Readiness</w:t>
      </w:r>
    </w:p>
    <w:p>
      <w:pPr>
        <w:keepLines w:val="0"/>
      </w:pPr>
      <w:r>
        <w:t xml:space="preserve">Internal server-to-server bearer credentials are now compared with </w:t>
      </w:r>
      <w:r>
        <w:rPr>
          <w:rFonts w:ascii="Aptos Mono" w:hAnsi="Aptos Mono"/>
          <w:color w:val="0F766E"/>
          <w:sz w:val="18"/>
        </w:rPr>
        <w:t>timingSafeEqual</w:t>
      </w:r>
      <w:r>
        <w:t xml:space="preserve"> after a length check. An unset </w:t>
      </w:r>
      <w:r>
        <w:rPr>
          <w:rFonts w:ascii="Aptos Mono" w:hAnsi="Aptos Mono"/>
          <w:color w:val="0F766E"/>
          <w:sz w:val="18"/>
        </w:rPr>
        <w:t>INTERNAL_API_KEY</w:t>
      </w:r>
      <w:r>
        <w:t xml:space="preserve"> cannot match an empty or accidental value.</w:t>
      </w:r>
    </w:p>
    <w:p>
      <w:pPr>
        <w:keepLines w:val="0"/>
      </w:pPr>
      <w:r>
        <w:t>Agent voice catalog, preview-session, KB processing, and KB vector-cleanup paths now require an explicit internal key instead of sending an empty fallback.</w:t>
      </w:r>
    </w:p>
    <w:p>
      <w:pPr>
        <w:keepLines w:val="0"/>
      </w:pPr>
      <w:r>
        <w:t>Readiness now distinguishes:</w:t>
      </w:r>
    </w:p>
    <w:p>
      <w:pPr>
        <w:pStyle w:val="ListBullet"/>
        <w:spacing w:after="40"/>
      </w:pPr>
      <w:r>
        <w:t>required core dependencies: database, Redis, Better Auth secret, internal API</w:t>
      </w:r>
    </w:p>
    <w:p>
      <w:pPr>
        <w:keepLines w:val="0"/>
      </w:pPr>
      <w:r>
        <w:t>key, and secret encryption key;</w:t>
      </w:r>
    </w:p>
    <w:p>
      <w:pPr>
        <w:pStyle w:val="ListBullet"/>
        <w:spacing w:after="40"/>
      </w:pPr>
      <w:r>
        <w:t>optional integrations such as S3, Stripe, Twilio, LiveKit, SMTP, and</w:t>
      </w:r>
    </w:p>
    <w:p>
      <w:pPr>
        <w:keepLines w:val="0"/>
      </w:pPr>
      <w:r>
        <w:t>Smithery; and</w:t>
      </w:r>
    </w:p>
    <w:p>
      <w:pPr>
        <w:pStyle w:val="ListBullet"/>
        <w:spacing w:after="40"/>
      </w:pPr>
      <w:r>
        <w:t>operator-selected required integrations through</w:t>
      </w:r>
    </w:p>
    <w:p>
      <w:pPr>
        <w:keepLines w:val="0"/>
      </w:pPr>
      <w:r>
        <w:rPr>
          <w:rFonts w:ascii="Aptos Mono" w:hAnsi="Aptos Mono"/>
          <w:color w:val="0F766E"/>
          <w:sz w:val="18"/>
        </w:rPr>
        <w:t>READINESS_REQUIRED_INTEGRATIONS</w:t>
      </w:r>
      <w:r>
        <w:t>.</w:t>
      </w:r>
    </w:p>
    <w:p>
      <w:pPr>
        <w:keepLines w:val="0"/>
      </w:pPr>
      <w:r>
        <w:t>Unknown required integration names fail readiness rather than being silently ignored. Database and Redis failures return stable operator-safe messages instead of exposing raw connection errors.</w:t>
      </w:r>
    </w:p>
    <w:p>
      <w:pPr>
        <w:keepLines w:val="0"/>
      </w:pPr>
      <w:r>
        <w:t>#### Operational effect</w:t>
      </w:r>
    </w:p>
    <w:p>
      <w:pPr>
        <w:keepLines w:val="0"/>
      </w:pPr>
      <w:r>
        <w:t xml:space="preserve">The API can boot with optional Stripe configuration absent, report Stripe as </w:t>
      </w:r>
      <w:r>
        <w:rPr>
          <w:rFonts w:ascii="Aptos Mono" w:hAnsi="Aptos Mono"/>
          <w:color w:val="0F766E"/>
          <w:sz w:val="18"/>
        </w:rPr>
        <w:t>not_configured</w:t>
      </w:r>
      <w:r>
        <w:t>, and remain ready unless Stripe is explicitly required. Core security material remains mandatory. This separates "service cannot operate safely" from "an optional feature is unavailable."</w:t>
      </w:r>
    </w:p>
    <w:p>
      <w:pPr>
        <w:pStyle w:val="Heading2"/>
      </w:pPr>
      <w:r>
        <w:t>3. Dedicated Secret Encryption and Secret Lifecycle</w:t>
      </w:r>
    </w:p>
    <w:p>
      <w:pPr>
        <w:keepLines w:val="0"/>
      </w:pPr>
      <w:r>
        <w:t xml:space="preserve">Integration secret encryption now requires </w:t>
      </w:r>
      <w:r>
        <w:rPr>
          <w:rFonts w:ascii="Aptos Mono" w:hAnsi="Aptos Mono"/>
          <w:color w:val="0F766E"/>
          <w:sz w:val="18"/>
        </w:rPr>
        <w:t>SECRET_ENCRYPTION_KEY</w:t>
      </w:r>
      <w:r>
        <w:t xml:space="preserve">. The code no longer silently derives encryption material from </w:t>
      </w:r>
      <w:r>
        <w:rPr>
          <w:rFonts w:ascii="Aptos Mono" w:hAnsi="Aptos Mono"/>
          <w:color w:val="0F766E"/>
          <w:sz w:val="18"/>
        </w:rPr>
        <w:t>BETTER_AUTH_SECRET</w:t>
      </w:r>
      <w:r>
        <w:t xml:space="preserve"> or </w:t>
      </w:r>
      <w:r>
        <w:rPr>
          <w:rFonts w:ascii="Aptos Mono" w:hAnsi="Aptos Mono"/>
          <w:color w:val="0F766E"/>
          <w:sz w:val="18"/>
        </w:rPr>
        <w:t>INTERNAL_API_KEY</w:t>
      </w:r>
      <w:r>
        <w:t>.</w:t>
      </w:r>
    </w:p>
    <w:p>
      <w:pPr>
        <w:keepLines w:val="0"/>
      </w:pPr>
      <w:r>
        <w:t>The secret workflow now:</w:t>
      </w:r>
    </w:p>
    <w:p>
      <w:pPr>
        <w:pStyle w:val="ListBullet"/>
        <w:spacing w:after="40"/>
      </w:pPr>
      <w:r>
        <w:t>encrypts values with AES-256-GCM;</w:t>
      </w:r>
    </w:p>
    <w:p>
      <w:pPr>
        <w:pStyle w:val="ListBullet"/>
        <w:spacing w:after="40"/>
      </w:pPr>
      <w:r>
        <w:t>stores scoped secret records and persists references in tool or webhook</w:t>
      </w:r>
    </w:p>
    <w:p>
      <w:pPr>
        <w:keepLines w:val="0"/>
      </w:pPr>
      <w:r>
        <w:t>configuration;</w:t>
      </w:r>
    </w:p>
    <w:p>
      <w:pPr>
        <w:pStyle w:val="ListBullet"/>
        <w:spacing w:after="40"/>
      </w:pPr>
      <w:r>
        <w:t>redacts values returned to the console;</w:t>
      </w:r>
    </w:p>
    <w:p>
      <w:pPr>
        <w:pStyle w:val="ListBullet"/>
        <w:spacing w:after="40"/>
      </w:pPr>
      <w:r>
        <w:t>recognizes a submitted redacted placeholder and restores the existing</w:t>
      </w:r>
    </w:p>
    <w:p>
      <w:pPr>
        <w:keepLines w:val="0"/>
      </w:pPr>
      <w:r>
        <w:t>reference during an edit;</w:t>
      </w:r>
    </w:p>
    <w:p>
      <w:pPr>
        <w:pStyle w:val="ListBullet"/>
        <w:spacing w:after="40"/>
      </w:pPr>
      <w:r>
        <w:t>verifies that every submitted reference belongs to the active organization;</w:t>
      </w:r>
    </w:p>
    <w:p>
      <w:pPr>
        <w:pStyle w:val="ListBullet"/>
        <w:spacing w:after="40"/>
      </w:pPr>
      <w:r>
        <w:t>deletes newly created secrets if the parent write fails;</w:t>
      </w:r>
    </w:p>
    <w:p>
      <w:pPr>
        <w:pStyle w:val="ListBullet"/>
        <w:spacing w:after="40"/>
      </w:pPr>
      <w:r>
        <w:t>prunes replaced references after a successful update; and</w:t>
      </w:r>
    </w:p>
    <w:p>
      <w:pPr>
        <w:pStyle w:val="ListBullet"/>
        <w:spacing w:after="40"/>
      </w:pPr>
      <w:r>
        <w:t>removes scoped references when an agent or tool is deleted.</w:t>
      </w:r>
    </w:p>
    <w:p>
      <w:pPr>
        <w:keepLines w:val="0"/>
      </w:pPr>
      <w:r>
        <w:t>#### Risk addressed</w:t>
      </w:r>
    </w:p>
    <w:p>
      <w:pPr>
        <w:keepLines w:val="0"/>
      </w:pPr>
      <w:r>
        <w:t>Previously, a user editing an unrelated field could overwrite a redacted secret with a blank value. Stale secret rows could accumulate, and a forged reference could potentially point at another organization's secret if ownership was not checked at the service boundary.</w:t>
      </w:r>
    </w:p>
    <w:p>
      <w:pPr>
        <w:keepLines w:val="0"/>
      </w:pPr>
      <w:r>
        <w:t>#### Migration warning</w:t>
      </w:r>
    </w:p>
    <w:p>
      <w:pPr>
        <w:keepLines w:val="0"/>
      </w:pPr>
      <w:r>
        <w:t xml:space="preserve">Deployments with existing </w:t>
      </w:r>
      <w:r>
        <w:rPr>
          <w:rFonts w:ascii="Aptos Mono" w:hAnsi="Aptos Mono"/>
          <w:color w:val="0F766E"/>
          <w:sz w:val="18"/>
        </w:rPr>
        <w:t>qvsec:v1:</w:t>
      </w:r>
      <w:r>
        <w:t xml:space="preserve"> values must preserve the original encryption material. If an earlier deployment implicitly used </w:t>
      </w:r>
      <w:r>
        <w:rPr>
          <w:rFonts w:ascii="Aptos Mono" w:hAnsi="Aptos Mono"/>
          <w:color w:val="0F766E"/>
          <w:sz w:val="18"/>
        </w:rPr>
        <w:t>BETTER_AUTH_SECRET</w:t>
      </w:r>
      <w:r>
        <w:t xml:space="preserve"> or </w:t>
      </w:r>
      <w:r>
        <w:rPr>
          <w:rFonts w:ascii="Aptos Mono" w:hAnsi="Aptos Mono"/>
          <w:color w:val="0F766E"/>
          <w:sz w:val="18"/>
        </w:rPr>
        <w:t>INTERNAL_API_KEY</w:t>
      </w:r>
      <w:r>
        <w:t xml:space="preserve">, set </w:t>
      </w:r>
      <w:r>
        <w:rPr>
          <w:rFonts w:ascii="Aptos Mono" w:hAnsi="Aptos Mono"/>
          <w:color w:val="0F766E"/>
          <w:sz w:val="18"/>
        </w:rPr>
        <w:t>SECRET_ENCRYPTION_KEY</w:t>
      </w:r>
      <w:r>
        <w:t xml:space="preserve"> to that same material before deploying this code, verify decryption, and then perform a planned rotation. Setting an unrelated new key immediately will make existing ciphertext unreadable.</w:t>
      </w:r>
    </w:p>
    <w:p>
      <w:pPr>
        <w:pStyle w:val="Heading2"/>
      </w:pPr>
      <w:r>
        <w:t>4. Agent Creation, Configuration, Preview, and Deletion</w:t>
      </w:r>
    </w:p>
    <w:p>
      <w:pPr>
        <w:keepLines w:val="0"/>
      </w:pPr>
      <w:r>
        <w:t>Agent names are trimmed and bounded. Server-side slugs are deterministic and empty names fall back safely; unique-constraint failures are translated into a clear organization-scoped conflict message.</w:t>
      </w:r>
    </w:p>
    <w:p>
      <w:pPr>
        <w:keepLines w:val="0"/>
      </w:pPr>
      <w:r>
        <w:t>Configuration now supports:</w:t>
      </w:r>
    </w:p>
    <w:p>
      <w:pPr>
        <w:pStyle w:val="ListBullet"/>
        <w:spacing w:after="40"/>
      </w:pPr>
      <w:r>
        <w:rPr>
          <w:rFonts w:ascii="Aptos Mono" w:hAnsi="Aptos Mono"/>
          <w:color w:val="0F766E"/>
          <w:sz w:val="18"/>
        </w:rPr>
        <w:t>store_call_audio</w:t>
      </w:r>
      <w:r>
        <w:t>;</w:t>
      </w:r>
    </w:p>
    <w:p>
      <w:pPr>
        <w:pStyle w:val="ListBullet"/>
        <w:spacing w:after="40"/>
      </w:pPr>
      <w:r>
        <w:rPr>
          <w:rFonts w:ascii="Aptos Mono" w:hAnsi="Aptos Mono"/>
          <w:color w:val="0F766E"/>
          <w:sz w:val="18"/>
        </w:rPr>
        <w:t>zero_pii_retention</w:t>
      </w:r>
      <w:r>
        <w:t>; and</w:t>
      </w:r>
    </w:p>
    <w:p>
      <w:pPr>
        <w:pStyle w:val="ListBullet"/>
        <w:spacing w:after="40"/>
      </w:pPr>
      <w:r>
        <w:rPr>
          <w:rFonts w:ascii="Aptos Mono" w:hAnsi="Aptos Mono"/>
          <w:color w:val="0F766E"/>
          <w:sz w:val="18"/>
        </w:rPr>
        <w:t>conversation_retention_days</w:t>
      </w:r>
      <w:r>
        <w:t xml:space="preserve"> from 1 through 3,650 days.</w:t>
      </w:r>
    </w:p>
    <w:p>
      <w:pPr>
        <w:keepLines w:val="0"/>
      </w:pPr>
      <w:r>
        <w:t>The API rejects the contradictory state where zero-PII retention and call-audio storage are both enabled. The console mirrors this rule, automatically disables audio storage when zero-PII is selected, and exposes transcript retention as a writable setting.</w:t>
      </w:r>
    </w:p>
    <w:p>
      <w:pPr>
        <w:keepLines w:val="0"/>
      </w:pPr>
      <w:r>
        <w:t>Agent preview is available from the agents table through the existing preview-session API instead of being an inert action. Pagination is clamped after data changes so deleting the final item on a page cannot leave the table on an invalid page.</w:t>
      </w:r>
    </w:p>
    <w:p>
      <w:pPr>
        <w:keepLines w:val="0"/>
      </w:pPr>
      <w:r>
        <w:t>Agent deletion now:</w:t>
      </w:r>
    </w:p>
    <w:p>
      <w:pPr>
        <w:pStyle w:val="ListNumber"/>
        <w:spacing w:after="40"/>
      </w:pPr>
      <w:r>
        <w:t>loads an organization-scoped deletion context;</w:t>
      </w:r>
    </w:p>
    <w:p>
      <w:pPr>
        <w:pStyle w:val="ListNumber"/>
        <w:spacing w:after="40"/>
      </w:pPr>
      <w:r>
        <w:t>unlinks assigned phone numbers;</w:t>
      </w:r>
    </w:p>
    <w:p>
      <w:pPr>
        <w:pStyle w:val="ListNumber"/>
        <w:spacing w:after="40"/>
      </w:pPr>
      <w:r>
        <w:t>deletes each knowledge source's object and vector assets;</w:t>
      </w:r>
    </w:p>
    <w:p>
      <w:pPr>
        <w:pStyle w:val="ListNumber"/>
        <w:spacing w:after="40"/>
      </w:pPr>
      <w:r>
        <w:t>deletes the knowledge-source rows;</w:t>
      </w:r>
    </w:p>
    <w:p>
      <w:pPr>
        <w:pStyle w:val="ListNumber"/>
        <w:spacing w:after="40"/>
      </w:pPr>
      <w:r>
        <w:t>removes agent-scoped secret records; and</w:t>
      </w:r>
    </w:p>
    <w:p>
      <w:pPr>
        <w:pStyle w:val="ListNumber"/>
        <w:spacing w:after="40"/>
      </w:pPr>
      <w:r>
        <w:t>deletes the agent.</w:t>
      </w:r>
    </w:p>
    <w:p>
      <w:pPr>
        <w:keepLines w:val="0"/>
      </w:pPr>
      <w:r>
        <w:t>The console uses one supported, confirmed delete workflow in both the agents table and Advanced tab.</w:t>
      </w:r>
    </w:p>
    <w:p>
      <w:pPr>
        <w:keepLines w:val="0"/>
      </w:pPr>
      <w:r>
        <w:t>#### Tradeoff</w:t>
      </w:r>
    </w:p>
    <w:p>
      <w:pPr>
        <w:keepLines w:val="0"/>
      </w:pPr>
      <w:r>
        <w:t>Agent deletion is intentionally fail-closed. If number unlinking or KB cleanup fails, the service reports the error rather than deleting the agent and leaving unowned external resources.</w:t>
      </w:r>
    </w:p>
    <w:p>
      <w:pPr>
        <w:pStyle w:val="Heading2"/>
      </w:pPr>
      <w:r>
        <w:t>5. Tool and Webhook Secret Editing</w:t>
      </w:r>
    </w:p>
    <w:p>
      <w:pPr>
        <w:keepLines w:val="0"/>
      </w:pPr>
      <w:r>
        <w:t xml:space="preserve">Tool headers, dynamic variables, and agent webhook secret fields now carry an explicit </w:t>
      </w:r>
      <w:r>
        <w:rPr>
          <w:rFonts w:ascii="Aptos Mono" w:hAnsi="Aptos Mono"/>
          <w:color w:val="0F766E"/>
          <w:sz w:val="18"/>
        </w:rPr>
        <w:t>redacted</w:t>
      </w:r>
      <w:r>
        <w:t xml:space="preserve"> state. Nullable values are accepted only for a legitimate redacted secret placeholder; ordinary values remain required.</w:t>
      </w:r>
    </w:p>
    <w:p>
      <w:pPr>
        <w:keepLines w:val="0"/>
      </w:pPr>
      <w:r>
        <w:t>The console preserves this marker until a user actually edits the value. The server then restores the stored secret reference, validates organization ownership, writes the parent record, and prunes replaced secrets.</w:t>
      </w:r>
    </w:p>
    <w:p>
      <w:pPr>
        <w:keepLines w:val="0"/>
      </w:pPr>
      <w:r>
        <w:t>Tool creation assigns the tool identifier before secret storage. This makes secret names uniquely scoped to the final tool instead of using a shared generic prefix.</w:t>
      </w:r>
    </w:p>
    <w:p>
      <w:pPr>
        <w:keepLines w:val="0"/>
      </w:pPr>
      <w:r>
        <w:t>Remote tool and webhook URLs continue through the safe-URL policy, reducing server-side request forgery exposure.</w:t>
      </w:r>
    </w:p>
    <w:p>
      <w:pPr>
        <w:pStyle w:val="Heading2"/>
      </w:pPr>
      <w:r>
        <w:t>6. Idempotent Call Ingestion and Safer Call Deletion</w:t>
      </w:r>
    </w:p>
    <w:p>
      <w:pPr>
        <w:keepLines w:val="0"/>
      </w:pPr>
      <w:r>
        <w:t xml:space="preserve">Call-log ingestion now uses </w:t>
      </w:r>
      <w:r>
        <w:rPr>
          <w:rFonts w:ascii="Aptos Mono" w:hAnsi="Aptos Mono"/>
          <w:color w:val="0F766E"/>
          <w:sz w:val="18"/>
        </w:rPr>
        <w:t>createMany(..., skipDuplicates: true)</w:t>
      </w:r>
      <w:r>
        <w:t xml:space="preserve"> within a transaction, then reads the canonical row. Re-delivery of the same </w:t>
      </w:r>
      <w:r>
        <w:rPr>
          <w:rFonts w:ascii="Aptos Mono" w:hAnsi="Aptos Mono"/>
          <w:color w:val="0F766E"/>
          <w:sz w:val="18"/>
        </w:rPr>
        <w:t>callId</w:t>
      </w:r>
      <w:r>
        <w:t xml:space="preserve"> returns the existing call without duplicating transcripts or incrementing derived data.</w:t>
      </w:r>
    </w:p>
    <w:p>
      <w:pPr>
        <w:keepLines w:val="0"/>
      </w:pPr>
      <w:r>
        <w:t xml:space="preserve">If the same call identifier already belongs to another organization, ingestion fails with a bad-request error. Outbound-call linkage uses a composite </w:t>
      </w:r>
      <w:r>
        <w:rPr>
          <w:rFonts w:ascii="Aptos Mono" w:hAnsi="Aptos Mono"/>
          <w:color w:val="0F766E"/>
          <w:sz w:val="18"/>
        </w:rPr>
        <w:t>outboundId + organizationId</w:t>
      </w:r>
      <w:r>
        <w:t xml:space="preserve"> predicate.</w:t>
      </w:r>
    </w:p>
    <w:p>
      <w:pPr>
        <w:keepLines w:val="0"/>
      </w:pPr>
      <w:r>
        <w:t>Call-list date validation rejects an end date earlier than the start date. The console converts calendar dates into local start-of-day and end-of-day ISO boundaries and resolves relative ranges once per page opening, avoiding a moving query key during render.</w:t>
      </w:r>
    </w:p>
    <w:p>
      <w:pPr>
        <w:keepLines w:val="0"/>
      </w:pPr>
      <w:r>
        <w:t>Deleting a call now:</w:t>
      </w:r>
    </w:p>
    <w:p>
      <w:pPr>
        <w:pStyle w:val="ListNumber"/>
        <w:spacing w:after="40"/>
      </w:pPr>
      <w:r>
        <w:t>loads the active, organization-scoped row;</w:t>
      </w:r>
    </w:p>
    <w:p>
      <w:pPr>
        <w:pStyle w:val="ListNumber"/>
        <w:spacing w:after="40"/>
      </w:pPr>
      <w:r>
        <w:t>deletes the recording object when it is an internal storage key;</w:t>
      </w:r>
    </w:p>
    <w:p>
      <w:pPr>
        <w:pStyle w:val="ListNumber"/>
        <w:spacing w:after="40"/>
      </w:pPr>
      <w:r>
        <w:t>atomically marks the row deleted only if the recording path still matches;</w:t>
      </w:r>
    </w:p>
    <w:p>
      <w:pPr>
        <w:pStyle w:val="ListNumber"/>
        <w:spacing w:after="40"/>
      </w:pPr>
      <w:r>
        <w:t>clears the recording path, caller identity, metadata, extracted data, and</w:t>
      </w:r>
    </w:p>
    <w:p>
      <w:pPr>
        <w:keepLines w:val="0"/>
      </w:pPr>
      <w:r>
        <w:t>evaluated data; and</w:t>
      </w:r>
    </w:p>
    <w:p>
      <w:pPr>
        <w:pStyle w:val="ListNumber"/>
        <w:spacing w:after="40"/>
      </w:pPr>
      <w:r>
        <w:t>deletes transcripts.</w:t>
      </w:r>
    </w:p>
    <w:p>
      <w:pPr>
        <w:keepLines w:val="0"/>
      </w:pPr>
      <w:r>
        <w:t>The remaining row is a minimal tombstone for referential and operational consistency rather than a container for retained PII.</w:t>
      </w:r>
    </w:p>
    <w:p>
      <w:pPr>
        <w:pStyle w:val="Heading2"/>
      </w:pPr>
      <w:r>
        <w:t>7. Idempotent Metered Billing and Real Usage Reporting</w:t>
      </w:r>
    </w:p>
    <w:p>
      <w:pPr>
        <w:keepLines w:val="0"/>
      </w:pPr>
      <w:r>
        <w:t>Stripe call-minute events now use:</w:t>
      </w:r>
    </w:p>
    <w:p>
      <w:pPr>
        <w:pStyle w:val="ListBullet"/>
        <w:spacing w:after="40"/>
      </w:pPr>
      <w:r>
        <w:t xml:space="preserve">a stable event identifier: </w:t>
      </w:r>
      <w:r>
        <w:rPr>
          <w:rFonts w:ascii="Aptos Mono" w:hAnsi="Aptos Mono"/>
          <w:color w:val="0F766E"/>
          <w:sz w:val="18"/>
        </w:rPr>
        <w:t>call:&lt;callId&gt;</w:t>
      </w:r>
      <w:r>
        <w:t>; and</w:t>
      </w:r>
    </w:p>
    <w:p>
      <w:pPr>
        <w:pStyle w:val="ListBullet"/>
        <w:spacing w:after="40"/>
      </w:pPr>
      <w:r>
        <w:t xml:space="preserve">a Stripe idempotency key: </w:t>
      </w:r>
      <w:r>
        <w:rPr>
          <w:rFonts w:ascii="Aptos Mono" w:hAnsi="Aptos Mono"/>
          <w:color w:val="0F766E"/>
          <w:sz w:val="18"/>
        </w:rPr>
        <w:t>quickvoice-call:&lt;callId&gt;</w:t>
      </w:r>
      <w:r>
        <w:t>.</w:t>
      </w:r>
    </w:p>
    <w:p>
      <w:pPr>
        <w:keepLines w:val="0"/>
      </w:pPr>
      <w:r>
        <w:t>This prevents duplicate usage if call-finalization delivery is retried. Duration is rounded up to whole billable minutes, with zero-duration calls skipped.</w:t>
      </w:r>
    </w:p>
    <w:p>
      <w:pPr>
        <w:keepLines w:val="0"/>
      </w:pPr>
      <w:r>
        <w:t xml:space="preserve">A new authenticated </w:t>
      </w:r>
      <w:r>
        <w:rPr>
          <w:rFonts w:ascii="Aptos Mono" w:hAnsi="Aptos Mono"/>
          <w:color w:val="0F766E"/>
          <w:sz w:val="18"/>
        </w:rPr>
        <w:t>GET /billing/usage</w:t>
      </w:r>
      <w:r>
        <w:t xml:space="preserve"> endpoint calculates:</w:t>
      </w:r>
    </w:p>
    <w:p>
      <w:pPr>
        <w:pStyle w:val="ListBullet"/>
        <w:spacing w:after="40"/>
      </w:pPr>
      <w:r>
        <w:t>active plan and subscription status;</w:t>
      </w:r>
    </w:p>
    <w:p>
      <w:pPr>
        <w:pStyle w:val="ListBullet"/>
        <w:spacing w:after="40"/>
      </w:pPr>
      <w:r>
        <w:t>billing period start and end;</w:t>
      </w:r>
    </w:p>
    <w:p>
      <w:pPr>
        <w:pStyle w:val="ListBullet"/>
        <w:spacing w:after="40"/>
      </w:pPr>
      <w:r>
        <w:t>included, used, remaining, and overage minutes;</w:t>
      </w:r>
    </w:p>
    <w:p>
      <w:pPr>
        <w:pStyle w:val="ListBullet"/>
        <w:spacing w:after="40"/>
      </w:pPr>
      <w:r>
        <w:t>raw used seconds;</w:t>
      </w:r>
    </w:p>
    <w:p>
      <w:pPr>
        <w:pStyle w:val="ListBullet"/>
        <w:spacing w:after="40"/>
      </w:pPr>
      <w:r>
        <w:t>percentage used; and</w:t>
      </w:r>
    </w:p>
    <w:p>
      <w:pPr>
        <w:pStyle w:val="ListBullet"/>
        <w:spacing w:after="40"/>
      </w:pPr>
      <w:r>
        <w:t>call count.</w:t>
      </w:r>
    </w:p>
    <w:p>
      <w:pPr>
        <w:keepLines w:val="0"/>
      </w:pPr>
      <w:r>
        <w:t>The active subscription period is authoritative when available; otherwise the current UTC calendar month is used. The console billing page replaces the "coming soon" placeholder with actual usage, a progress indicator, period end, remaining or overage minutes, and a retryable error state.</w:t>
      </w:r>
    </w:p>
    <w:p>
      <w:pPr>
        <w:pStyle w:val="Heading2"/>
      </w:pPr>
      <w:r>
        <w:t>8. Organization Deletion and External Cleanup</w:t>
      </w:r>
    </w:p>
    <w:p>
      <w:pPr>
        <w:keepLines w:val="0"/>
      </w:pPr>
      <w:r>
        <w:t>Better Auth's organization deletion hook now runs a dedicated cleanup service before database deletion.</w:t>
      </w:r>
    </w:p>
    <w:p>
      <w:pPr>
        <w:keepLines w:val="0"/>
      </w:pPr>
      <w:r>
        <w:t>The cleanup sequence:</w:t>
      </w:r>
    </w:p>
    <w:p>
      <w:pPr>
        <w:pStyle w:val="ListNumber"/>
        <w:spacing w:after="40"/>
      </w:pPr>
      <w:r>
        <w:t>releases purchased phone numbers through the configured provider;</w:t>
      </w:r>
    </w:p>
    <w:p>
      <w:pPr>
        <w:pStyle w:val="ListNumber"/>
        <w:spacing w:after="40"/>
      </w:pPr>
      <w:r>
        <w:t>removes knowledge-source objects and vectors;</w:t>
      </w:r>
    </w:p>
    <w:p>
      <w:pPr>
        <w:pStyle w:val="ListNumber"/>
        <w:spacing w:after="40"/>
      </w:pPr>
      <w:r>
        <w:t>deletes knowledge-source rows;</w:t>
      </w:r>
    </w:p>
    <w:p>
      <w:pPr>
        <w:pStyle w:val="ListNumber"/>
        <w:spacing w:after="40"/>
      </w:pPr>
      <w:r>
        <w:t>deletes or detaches call recordings;</w:t>
      </w:r>
    </w:p>
    <w:p>
      <w:pPr>
        <w:pStyle w:val="ListNumber"/>
        <w:spacing w:after="40"/>
      </w:pPr>
      <w:r>
        <w:t>deletes outbound campaign source files;</w:t>
      </w:r>
    </w:p>
    <w:p>
      <w:pPr>
        <w:pStyle w:val="ListNumber"/>
        <w:spacing w:after="40"/>
      </w:pPr>
      <w:r>
        <w:t>deletes the Stripe customer, or cancels cancellable subscriptions when no</w:t>
      </w:r>
    </w:p>
    <w:p>
      <w:pPr>
        <w:keepLines w:val="0"/>
      </w:pPr>
      <w:r>
        <w:t>customer identifier is available; and</w:t>
      </w:r>
    </w:p>
    <w:p>
      <w:pPr>
        <w:pStyle w:val="ListNumber"/>
        <w:spacing w:after="40"/>
      </w:pPr>
      <w:r>
        <w:t>deletes local subscription rows.</w:t>
      </w:r>
    </w:p>
    <w:p>
      <w:pPr>
        <w:keepLines w:val="0"/>
      </w:pPr>
      <w:r>
        <w:t>Already-missing Stripe resources are treated as idempotent success. Other provider failures block organization deletion and return a controlled error.</w:t>
      </w:r>
    </w:p>
    <w:p>
      <w:pPr>
        <w:keepLines w:val="0"/>
      </w:pPr>
      <w:r>
        <w:t>#### Why cleanup happens first</w:t>
      </w:r>
    </w:p>
    <w:p>
      <w:pPr>
        <w:keepLines w:val="0"/>
      </w:pPr>
      <w:r>
        <w:t>Once the database organization is deleted, provider identifiers and ownership context may be difficult or impossible to reconstruct. Cleaning external resources first preserves enough state to retry safely.</w:t>
      </w:r>
    </w:p>
    <w:p>
      <w:pPr>
        <w:keepLines w:val="0"/>
      </w:pPr>
      <w:r>
        <w:t>#### Operational consideration</w:t>
      </w:r>
    </w:p>
    <w:p>
      <w:pPr>
        <w:keepLines w:val="0"/>
      </w:pPr>
      <w:r>
        <w:t>Large organizations may take longer to delete because provider calls are currently sequential by resource class. Reviewers should consider whether a future deletion job/state machine is needed for very large tenants. The current implementation prioritizes correctness and auditability over asynchronous throughput.</w:t>
      </w:r>
    </w:p>
    <w:p>
      <w:pPr>
        <w:pStyle w:val="Heading2"/>
      </w:pPr>
      <w:r>
        <w:t>9. Retention Enforcement</w:t>
      </w:r>
    </w:p>
    <w:p>
      <w:pPr>
        <w:keepLines w:val="0"/>
      </w:pPr>
      <w:r>
        <w:t>Retention is no longer a single global transcript delete followed by database detachment of recordings. The revised service provides:</w:t>
      </w:r>
    </w:p>
    <w:p>
      <w:pPr>
        <w:pStyle w:val="ListBullet"/>
        <w:spacing w:after="40"/>
      </w:pPr>
      <w:r>
        <w:t>per-agent transcript retention from</w:t>
      </w:r>
    </w:p>
    <w:p>
      <w:pPr>
        <w:keepLines w:val="0"/>
      </w:pPr>
      <w:r>
        <w:rPr>
          <w:rFonts w:ascii="Aptos Mono" w:hAnsi="Aptos Mono"/>
          <w:color w:val="0F766E"/>
          <w:sz w:val="18"/>
        </w:rPr>
        <w:t>conversation_retention_days</w:t>
      </w:r>
      <w:r>
        <w:t>;</w:t>
      </w:r>
    </w:p>
    <w:p>
      <w:pPr>
        <w:pStyle w:val="ListBullet"/>
        <w:spacing w:after="40"/>
      </w:pPr>
      <w:r>
        <w:t>a global transcript fallback for unconfigured or agentless calls;</w:t>
      </w:r>
    </w:p>
    <w:p>
      <w:pPr>
        <w:pStyle w:val="ListBullet"/>
        <w:spacing w:after="40"/>
      </w:pPr>
      <w:r>
        <w:t>object-storage deletion before recording-path detachment;</w:t>
      </w:r>
    </w:p>
    <w:p>
      <w:pPr>
        <w:pStyle w:val="ListBullet"/>
        <w:spacing w:after="40"/>
      </w:pPr>
      <w:r>
        <w:t>bounded, cursor-based recording cleanup;</w:t>
      </w:r>
    </w:p>
    <w:p>
      <w:pPr>
        <w:pStyle w:val="ListBullet"/>
        <w:spacing w:after="40"/>
      </w:pPr>
      <w:r>
        <w:t>MCP execution-log deletion;</w:t>
      </w:r>
    </w:p>
    <w:p>
      <w:pPr>
        <w:pStyle w:val="ListBullet"/>
        <w:spacing w:after="40"/>
      </w:pPr>
      <w:r>
        <w:t>bounded cleanup of failed knowledge sources, including objects and vectors;</w:t>
      </w:r>
    </w:p>
    <w:p>
      <w:pPr>
        <w:pStyle w:val="ListBullet"/>
        <w:spacing w:after="40"/>
      </w:pPr>
      <w:r>
        <w:t>failure counters and warnings for operations that need retry; and</w:t>
      </w:r>
    </w:p>
    <w:p>
      <w:pPr>
        <w:pStyle w:val="ListBullet"/>
        <w:spacing w:after="40"/>
      </w:pPr>
      <w:r>
        <w:t>upper bounds for retention days and cleanup batch size.</w:t>
      </w:r>
    </w:p>
    <w:p>
      <w:pPr>
        <w:keepLines w:val="0"/>
      </w:pPr>
      <w:r>
        <w:t>Relevant configuration:</w:t>
      </w:r>
    </w:p>
    <w:tbl>
      <w:tblPr>
        <w:tblStyle w:val="TableGrid"/>
        <w:tblW w:type="auto" w:w="0"/>
        <w:jc w:val="center"/>
        <w:tblLook w:firstColumn="1" w:firstRow="1" w:lastColumn="0" w:lastRow="0" w:noHBand="0" w:noVBand="1" w:val="04A0"/>
      </w:tblPr>
      <w:tblGrid>
        <w:gridCol w:w="3360"/>
        <w:gridCol w:w="3360"/>
        <w:gridCol w:w="3360"/>
      </w:tblGrid>
      <w:tr>
        <w:trPr>
          <w:tblHeader/>
        </w:trPr>
        <w:tc>
          <w:tcPr>
            <w:tcW w:type="dxa" w:w="3360"/>
            <w:vAlign w:val="center"/>
            <w:tcMar>
              <w:top w:w="90" w:type="dxa"/>
              <w:start w:w="110" w:type="dxa"/>
              <w:bottom w:w="90" w:type="dxa"/>
              <w:end w:w="110" w:type="dxa"/>
            </w:tcMar>
            <w:shd w:fill="134E4A"/>
          </w:tcPr>
          <w:p>
            <w:pPr>
              <w:spacing w:after="0"/>
            </w:pPr>
            <w:r>
              <w:rPr>
                <w:b/>
                <w:color w:val="FFFFFF"/>
                <w:sz w:val="17"/>
              </w:rPr>
              <w:t>Variable</w:t>
            </w:r>
          </w:p>
        </w:tc>
        <w:tc>
          <w:tcPr>
            <w:tcW w:type="dxa" w:w="3360"/>
            <w:vAlign w:val="center"/>
            <w:tcMar>
              <w:top w:w="90" w:type="dxa"/>
              <w:start w:w="110" w:type="dxa"/>
              <w:bottom w:w="90" w:type="dxa"/>
              <w:end w:w="110" w:type="dxa"/>
            </w:tcMar>
            <w:shd w:fill="134E4A"/>
          </w:tcPr>
          <w:p>
            <w:pPr>
              <w:spacing w:after="0"/>
            </w:pPr>
            <w:r>
              <w:rPr>
                <w:b/>
                <w:color w:val="FFFFFF"/>
                <w:sz w:val="17"/>
              </w:rPr>
              <w:t>Default</w:t>
            </w:r>
          </w:p>
        </w:tc>
        <w:tc>
          <w:tcPr>
            <w:tcW w:type="dxa" w:w="3360"/>
            <w:vAlign w:val="center"/>
            <w:tcMar>
              <w:top w:w="90" w:type="dxa"/>
              <w:start w:w="110" w:type="dxa"/>
              <w:bottom w:w="90" w:type="dxa"/>
              <w:end w:w="110" w:type="dxa"/>
            </w:tcMar>
            <w:shd w:fill="134E4A"/>
          </w:tcPr>
          <w:p>
            <w:pPr>
              <w:spacing w:after="0"/>
            </w:pPr>
            <w:r>
              <w:rPr>
                <w:b/>
                <w:color w:val="FFFFFF"/>
                <w:sz w:val="17"/>
              </w:rPr>
              <w:t>Purpose</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TRANSCRIPT_RETENTION_DAYS</w:t>
            </w:r>
          </w:p>
        </w:tc>
        <w:tc>
          <w:tcPr>
            <w:tcW w:type="dxa" w:w="3360"/>
            <w:vAlign w:val="center"/>
            <w:tcMar>
              <w:top w:w="90" w:type="dxa"/>
              <w:start w:w="110" w:type="dxa"/>
              <w:bottom w:w="90" w:type="dxa"/>
              <w:end w:w="110" w:type="dxa"/>
            </w:tcMar>
          </w:tcPr>
          <w:p>
            <w:pPr>
              <w:spacing w:after="0"/>
            </w:pPr>
            <w:r>
              <w:rPr>
                <w:sz w:val="17"/>
              </w:rPr>
              <w:t>90</w:t>
            </w:r>
          </w:p>
        </w:tc>
        <w:tc>
          <w:tcPr>
            <w:tcW w:type="dxa" w:w="3360"/>
            <w:vAlign w:val="center"/>
            <w:tcMar>
              <w:top w:w="90" w:type="dxa"/>
              <w:start w:w="110" w:type="dxa"/>
              <w:bottom w:w="90" w:type="dxa"/>
              <w:end w:w="110" w:type="dxa"/>
            </w:tcMar>
          </w:tcPr>
          <w:p>
            <w:pPr>
              <w:spacing w:after="0"/>
            </w:pPr>
            <w:r>
              <w:rPr>
                <w:sz w:val="17"/>
              </w:rPr>
              <w:t>Fallback transcript retention</w:t>
            </w:r>
          </w:p>
        </w:tc>
      </w:tr>
      <w:tr>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RECORDING_RETENTION_DAYS</w:t>
            </w:r>
          </w:p>
        </w:tc>
        <w:tc>
          <w:tcPr>
            <w:tcW w:type="dxa" w:w="3360"/>
            <w:vAlign w:val="center"/>
            <w:tcMar>
              <w:top w:w="90" w:type="dxa"/>
              <w:start w:w="110" w:type="dxa"/>
              <w:bottom w:w="90" w:type="dxa"/>
              <w:end w:w="110" w:type="dxa"/>
            </w:tcMar>
            <w:shd w:fill="E6FFFB"/>
          </w:tcPr>
          <w:p>
            <w:pPr>
              <w:spacing w:after="0"/>
            </w:pPr>
            <w:r>
              <w:rPr>
                <w:sz w:val="17"/>
              </w:rPr>
              <w:t>30</w:t>
            </w:r>
          </w:p>
        </w:tc>
        <w:tc>
          <w:tcPr>
            <w:tcW w:type="dxa" w:w="3360"/>
            <w:vAlign w:val="center"/>
            <w:tcMar>
              <w:top w:w="90" w:type="dxa"/>
              <w:start w:w="110" w:type="dxa"/>
              <w:bottom w:w="90" w:type="dxa"/>
              <w:end w:w="110" w:type="dxa"/>
            </w:tcMar>
            <w:shd w:fill="E6FFFB"/>
          </w:tcPr>
          <w:p>
            <w:pPr>
              <w:spacing w:after="0"/>
            </w:pPr>
            <w:r>
              <w:rPr>
                <w:sz w:val="17"/>
              </w:rPr>
              <w:t>Recording-object retention</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MCP_LOG_RETENTION_DAYS</w:t>
            </w:r>
          </w:p>
        </w:tc>
        <w:tc>
          <w:tcPr>
            <w:tcW w:type="dxa" w:w="3360"/>
            <w:vAlign w:val="center"/>
            <w:tcMar>
              <w:top w:w="90" w:type="dxa"/>
              <w:start w:w="110" w:type="dxa"/>
              <w:bottom w:w="90" w:type="dxa"/>
              <w:end w:w="110" w:type="dxa"/>
            </w:tcMar>
          </w:tcPr>
          <w:p>
            <w:pPr>
              <w:spacing w:after="0"/>
            </w:pPr>
            <w:r>
              <w:rPr>
                <w:sz w:val="17"/>
              </w:rPr>
              <w:t>30</w:t>
            </w:r>
          </w:p>
        </w:tc>
        <w:tc>
          <w:tcPr>
            <w:tcW w:type="dxa" w:w="3360"/>
            <w:vAlign w:val="center"/>
            <w:tcMar>
              <w:top w:w="90" w:type="dxa"/>
              <w:start w:w="110" w:type="dxa"/>
              <w:bottom w:w="90" w:type="dxa"/>
              <w:end w:w="110" w:type="dxa"/>
            </w:tcMar>
          </w:tcPr>
          <w:p>
            <w:pPr>
              <w:spacing w:after="0"/>
            </w:pPr>
            <w:r>
              <w:rPr>
                <w:sz w:val="17"/>
              </w:rPr>
              <w:t>MCP execution-log retention</w:t>
            </w:r>
          </w:p>
        </w:tc>
      </w:tr>
      <w:tr>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FAILED_KB_RETENTION_DAYS</w:t>
            </w:r>
          </w:p>
        </w:tc>
        <w:tc>
          <w:tcPr>
            <w:tcW w:type="dxa" w:w="3360"/>
            <w:vAlign w:val="center"/>
            <w:tcMar>
              <w:top w:w="90" w:type="dxa"/>
              <w:start w:w="110" w:type="dxa"/>
              <w:bottom w:w="90" w:type="dxa"/>
              <w:end w:w="110" w:type="dxa"/>
            </w:tcMar>
            <w:shd w:fill="E6FFFB"/>
          </w:tcPr>
          <w:p>
            <w:pPr>
              <w:spacing w:after="0"/>
            </w:pPr>
            <w:r>
              <w:rPr>
                <w:sz w:val="17"/>
              </w:rPr>
              <w:t>30</w:t>
            </w:r>
          </w:p>
        </w:tc>
        <w:tc>
          <w:tcPr>
            <w:tcW w:type="dxa" w:w="3360"/>
            <w:vAlign w:val="center"/>
            <w:tcMar>
              <w:top w:w="90" w:type="dxa"/>
              <w:start w:w="110" w:type="dxa"/>
              <w:bottom w:w="90" w:type="dxa"/>
              <w:end w:w="110" w:type="dxa"/>
            </w:tcMar>
            <w:shd w:fill="E6FFFB"/>
          </w:tcPr>
          <w:p>
            <w:pPr>
              <w:spacing w:after="0"/>
            </w:pPr>
            <w:r>
              <w:rPr>
                <w:sz w:val="17"/>
              </w:rPr>
              <w:t>Failed KB source retention</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RETENTION_CLEANUP_BATCH_SIZE</w:t>
            </w:r>
          </w:p>
        </w:tc>
        <w:tc>
          <w:tcPr>
            <w:tcW w:type="dxa" w:w="3360"/>
            <w:vAlign w:val="center"/>
            <w:tcMar>
              <w:top w:w="90" w:type="dxa"/>
              <w:start w:w="110" w:type="dxa"/>
              <w:bottom w:w="90" w:type="dxa"/>
              <w:end w:w="110" w:type="dxa"/>
            </w:tcMar>
          </w:tcPr>
          <w:p>
            <w:pPr>
              <w:spacing w:after="0"/>
            </w:pPr>
            <w:r>
              <w:rPr>
                <w:sz w:val="17"/>
              </w:rPr>
              <w:t>25</w:t>
            </w:r>
          </w:p>
        </w:tc>
        <w:tc>
          <w:tcPr>
            <w:tcW w:type="dxa" w:w="3360"/>
            <w:vAlign w:val="center"/>
            <w:tcMar>
              <w:top w:w="90" w:type="dxa"/>
              <w:start w:w="110" w:type="dxa"/>
              <w:bottom w:w="90" w:type="dxa"/>
              <w:end w:w="110" w:type="dxa"/>
            </w:tcMar>
          </w:tcPr>
          <w:p>
            <w:pPr>
              <w:spacing w:after="0"/>
            </w:pPr>
            <w:r>
              <w:rPr>
                <w:sz w:val="17"/>
              </w:rPr>
              <w:t>Bounded storage cleanup batch</w:t>
            </w:r>
          </w:p>
        </w:tc>
      </w:tr>
    </w:tbl>
    <w:p/>
    <w:p>
      <w:pPr>
        <w:keepLines w:val="0"/>
      </w:pPr>
      <w:r>
        <w:t>The maximum accepted retention period is 3,650 days and the maximum cleanup batch is 250. Invalid configuration falls back to defaults.</w:t>
      </w:r>
    </w:p>
    <w:p>
      <w:pPr>
        <w:pStyle w:val="Heading2"/>
      </w:pPr>
      <w:r>
        <w:t>10. Knowledge-Base Queue Consolidation</w:t>
      </w:r>
    </w:p>
    <w:p>
      <w:pPr>
        <w:keepLines w:val="0"/>
      </w:pPr>
      <w:r>
        <w:t>The old duplicate Inngest KB ingestion function is removed. BullMQ is now the single ingestion coordinator, while Inngest remains responsible for data retention.</w:t>
      </w:r>
    </w:p>
    <w:p>
      <w:pPr>
        <w:keepLines w:val="0"/>
      </w:pPr>
      <w:r>
        <w:t>Each uploaded or linked document receives:</w:t>
      </w:r>
    </w:p>
    <w:p>
      <w:pPr>
        <w:pStyle w:val="ListBullet"/>
        <w:spacing w:after="40"/>
      </w:pPr>
      <w:r>
        <w:t>its own BullMQ job;</w:t>
      </w:r>
    </w:p>
    <w:p>
      <w:pPr>
        <w:pStyle w:val="ListBullet"/>
        <w:spacing w:after="40"/>
      </w:pPr>
      <w:r>
        <w:t>a stable job identifier;</w:t>
      </w:r>
    </w:p>
    <w:p>
      <w:pPr>
        <w:pStyle w:val="ListBullet"/>
        <w:spacing w:after="40"/>
      </w:pPr>
      <w:r>
        <w:t xml:space="preserve">queue metadata on the </w:t>
      </w:r>
      <w:r>
        <w:rPr>
          <w:rFonts w:ascii="Aptos Mono" w:hAnsi="Aptos Mono"/>
          <w:color w:val="0F766E"/>
          <w:sz w:val="18"/>
        </w:rPr>
        <w:t>KnowledgeSource</w:t>
      </w:r>
      <w:r>
        <w:t xml:space="preserve"> row; and</w:t>
      </w:r>
    </w:p>
    <w:p>
      <w:pPr>
        <w:pStyle w:val="ListBullet"/>
        <w:spacing w:after="40"/>
      </w:pPr>
      <w:r>
        <w:t>independent retry/failure state.</w:t>
      </w:r>
    </w:p>
    <w:p>
      <w:pPr>
        <w:keepLines w:val="0"/>
      </w:pPr>
      <w:r>
        <w:t>This isolates a bad document from otherwise valid documents submitted in the same request.</w:t>
      </w:r>
    </w:p>
    <w:p>
      <w:pPr>
        <w:keepLines w:val="0"/>
      </w:pPr>
      <w:r>
        <w:t>Queue construction is lazy so importing service modules does not create an immediate Redis connection. The queue uses exponential backoff, three attempts, and bounded completed/failed job retention.</w:t>
      </w:r>
    </w:p>
    <w:p>
      <w:pPr>
        <w:pStyle w:val="Heading2"/>
      </w:pPr>
      <w:r>
        <w:t>11. Knowledge-Base Progress, Failure, and Retry</w:t>
      </w:r>
    </w:p>
    <w:p>
      <w:pPr>
        <w:keepLines w:val="0"/>
      </w:pPr>
      <w:r>
        <w:t>The KB worker now records:</w:t>
      </w:r>
    </w:p>
    <w:p>
      <w:pPr>
        <w:pStyle w:val="ListBullet"/>
        <w:spacing w:after="40"/>
      </w:pPr>
      <w:r>
        <w:t>queued, processing, retrying, completed, or failed stage;</w:t>
      </w:r>
    </w:p>
    <w:p>
      <w:pPr>
        <w:pStyle w:val="ListBullet"/>
        <w:spacing w:after="40"/>
      </w:pPr>
      <w:r>
        <w:t>current attempt and maximum attempts;</w:t>
      </w:r>
    </w:p>
    <w:p>
      <w:pPr>
        <w:pStyle w:val="ListBullet"/>
        <w:spacing w:after="40"/>
      </w:pPr>
      <w:r>
        <w:t>processed/total/percentage progress;</w:t>
      </w:r>
    </w:p>
    <w:p>
      <w:pPr>
        <w:pStyle w:val="ListBullet"/>
        <w:spacing w:after="40"/>
      </w:pPr>
      <w:r>
        <w:t>BullMQ job ID and downstream processor job ID;</w:t>
      </w:r>
    </w:p>
    <w:p>
      <w:pPr>
        <w:pStyle w:val="ListBullet"/>
        <w:spacing w:after="40"/>
      </w:pPr>
      <w:r>
        <w:t>sanitized failure reason;</w:t>
      </w:r>
    </w:p>
    <w:p>
      <w:pPr>
        <w:pStyle w:val="ListBullet"/>
        <w:spacing w:after="40"/>
      </w:pPr>
      <w:r>
        <w:t>retryability; and</w:t>
      </w:r>
    </w:p>
    <w:p>
      <w:pPr>
        <w:pStyle w:val="ListBullet"/>
        <w:spacing w:after="40"/>
      </w:pPr>
      <w:r>
        <w:t>manual retry lineage and retry count.</w:t>
      </w:r>
    </w:p>
    <w:p>
      <w:pPr>
        <w:keepLines w:val="0"/>
      </w:pPr>
      <w:r>
        <w:t>Processor status is persisted during polling, not only at completion. Raw downstream response bodies are no longer inserted into thrown HTTP errors. Failure metadata redacts authorization values, API keys, tokens, secrets, passwords, credentials, bearer tokens, sensitive query parameters, and other PII patterns. Failure text is normalized and bounded.</w:t>
      </w:r>
    </w:p>
    <w:p>
      <w:pPr>
        <w:keepLines w:val="0"/>
      </w:pPr>
      <w:r>
        <w:t xml:space="preserve">Automatic retry state remains </w:t>
      </w:r>
      <w:r>
        <w:rPr>
          <w:rFonts w:ascii="Aptos Mono" w:hAnsi="Aptos Mono"/>
          <w:color w:val="0F766E"/>
          <w:sz w:val="18"/>
        </w:rPr>
        <w:t>PROCESSING</w:t>
      </w:r>
      <w:r>
        <w:t xml:space="preserve"> and visible as </w:t>
      </w:r>
      <w:r>
        <w:rPr>
          <w:rFonts w:ascii="Aptos Mono" w:hAnsi="Aptos Mono"/>
          <w:color w:val="0F766E"/>
          <w:sz w:val="18"/>
        </w:rPr>
        <w:t>retrying</w:t>
      </w:r>
      <w:r>
        <w:t xml:space="preserve">. A source becomes </w:t>
      </w:r>
      <w:r>
        <w:rPr>
          <w:rFonts w:ascii="Aptos Mono" w:hAnsi="Aptos Mono"/>
          <w:color w:val="0F766E"/>
          <w:sz w:val="18"/>
        </w:rPr>
        <w:t>ERROR</w:t>
      </w:r>
      <w:r>
        <w:t xml:space="preserve"> only when all automatic attempts are exhausted or the processor classifies the failure as unrecoverable.</w:t>
      </w:r>
    </w:p>
    <w:p>
      <w:pPr>
        <w:keepLines w:val="0"/>
      </w:pPr>
      <w:r>
        <w:t xml:space="preserve">A new </w:t>
      </w:r>
      <w:r>
        <w:rPr>
          <w:rFonts w:ascii="Aptos Mono" w:hAnsi="Aptos Mono"/>
          <w:color w:val="0F766E"/>
          <w:sz w:val="18"/>
        </w:rPr>
        <w:t>POST /kb/:kbId/retry</w:t>
      </w:r>
      <w:r>
        <w:t xml:space="preserve"> endpoint:</w:t>
      </w:r>
    </w:p>
    <w:p>
      <w:pPr>
        <w:pStyle w:val="ListBullet"/>
        <w:spacing w:after="40"/>
      </w:pPr>
      <w:r>
        <w:t>requires organization ownership;</w:t>
      </w:r>
    </w:p>
    <w:p>
      <w:pPr>
        <w:pStyle w:val="ListBullet"/>
        <w:spacing w:after="40"/>
      </w:pPr>
      <w:r>
        <w:t xml:space="preserve">permits only </w:t>
      </w:r>
      <w:r>
        <w:rPr>
          <w:rFonts w:ascii="Aptos Mono" w:hAnsi="Aptos Mono"/>
          <w:color w:val="0F766E"/>
          <w:sz w:val="18"/>
        </w:rPr>
        <w:t>ERROR</w:t>
      </w:r>
      <w:r>
        <w:t xml:space="preserve"> rows;</w:t>
      </w:r>
    </w:p>
    <w:p>
      <w:pPr>
        <w:pStyle w:val="ListBullet"/>
        <w:spacing w:after="40"/>
      </w:pPr>
      <w:r>
        <w:t>rejects explicitly unretryable failures;</w:t>
      </w:r>
    </w:p>
    <w:p>
      <w:pPr>
        <w:pStyle w:val="ListBullet"/>
        <w:spacing w:after="40"/>
      </w:pPr>
      <w:r>
        <w:t>atomically claims the row so two retry requests cannot enqueue duplicate</w:t>
      </w:r>
    </w:p>
    <w:p>
      <w:pPr>
        <w:keepLines w:val="0"/>
      </w:pPr>
      <w:r>
        <w:t>jobs;</w:t>
      </w:r>
    </w:p>
    <w:p>
      <w:pPr>
        <w:pStyle w:val="ListBullet"/>
        <w:spacing w:after="40"/>
      </w:pPr>
      <w:r>
        <w:t>revalidates URL or storage-key safety; and</w:t>
      </w:r>
    </w:p>
    <w:p>
      <w:pPr>
        <w:pStyle w:val="ListBullet"/>
        <w:spacing w:after="40"/>
      </w:pPr>
      <w:r>
        <w:t xml:space="preserve">restores </w:t>
      </w:r>
      <w:r>
        <w:rPr>
          <w:rFonts w:ascii="Aptos Mono" w:hAnsi="Aptos Mono"/>
          <w:color w:val="0F766E"/>
          <w:sz w:val="18"/>
        </w:rPr>
        <w:t>ERROR</w:t>
      </w:r>
      <w:r>
        <w:t xml:space="preserve"> with a controlled reason if queue submission fails.</w:t>
      </w:r>
    </w:p>
    <w:p>
      <w:pPr>
        <w:keepLines w:val="0"/>
      </w:pPr>
      <w:r>
        <w:t>The console displays stage, percentage, shortened job identifier, sanitized failure reason, and an eligible Retry action.</w:t>
      </w:r>
    </w:p>
    <w:p>
      <w:pPr>
        <w:pStyle w:val="Heading2"/>
      </w:pPr>
      <w:r>
        <w:t>12. Knowledge-Base Upload Policy</w:t>
      </w:r>
    </w:p>
    <w:p>
      <w:pPr>
        <w:keepLines w:val="0"/>
      </w:pPr>
      <w:r>
        <w:t>The upload URL endpoint now requires file name, content type, and file size. Server policy validates extension and MIME type together.</w:t>
      </w:r>
    </w:p>
    <w:p>
      <w:pPr>
        <w:keepLines w:val="0"/>
      </w:pPr>
      <w:r>
        <w:t>Supported file types:</w:t>
      </w:r>
    </w:p>
    <w:tbl>
      <w:tblPr>
        <w:tblStyle w:val="TableGrid"/>
        <w:tblW w:type="auto" w:w="0"/>
        <w:jc w:val="center"/>
        <w:tblLook w:firstColumn="1" w:firstRow="1" w:lastColumn="0" w:lastRow="0" w:noHBand="0" w:noVBand="1" w:val="04A0"/>
      </w:tblPr>
      <w:tblGrid>
        <w:gridCol w:w="3360"/>
        <w:gridCol w:w="3360"/>
        <w:gridCol w:w="3360"/>
      </w:tblGrid>
      <w:tr>
        <w:trPr>
          <w:tblHeader/>
        </w:trPr>
        <w:tc>
          <w:tcPr>
            <w:tcW w:type="dxa" w:w="3360"/>
            <w:vAlign w:val="center"/>
            <w:tcMar>
              <w:top w:w="90" w:type="dxa"/>
              <w:start w:w="110" w:type="dxa"/>
              <w:bottom w:w="90" w:type="dxa"/>
              <w:end w:w="110" w:type="dxa"/>
            </w:tcMar>
            <w:shd w:fill="134E4A"/>
          </w:tcPr>
          <w:p>
            <w:pPr>
              <w:spacing w:after="0"/>
            </w:pPr>
            <w:r>
              <w:rPr>
                <w:b/>
                <w:color w:val="FFFFFF"/>
                <w:sz w:val="17"/>
              </w:rPr>
              <w:t>Extension</w:t>
            </w:r>
          </w:p>
        </w:tc>
        <w:tc>
          <w:tcPr>
            <w:tcW w:type="dxa" w:w="3360"/>
            <w:vAlign w:val="center"/>
            <w:tcMar>
              <w:top w:w="90" w:type="dxa"/>
              <w:start w:w="110" w:type="dxa"/>
              <w:bottom w:w="90" w:type="dxa"/>
              <w:end w:w="110" w:type="dxa"/>
            </w:tcMar>
            <w:shd w:fill="134E4A"/>
          </w:tcPr>
          <w:p>
            <w:pPr>
              <w:spacing w:after="0"/>
            </w:pPr>
            <w:r>
              <w:rPr>
                <w:b/>
                <w:color w:val="FFFFFF"/>
                <w:sz w:val="17"/>
              </w:rPr>
              <w:t>Source type</w:t>
            </w:r>
          </w:p>
        </w:tc>
        <w:tc>
          <w:tcPr>
            <w:tcW w:type="dxa" w:w="3360"/>
            <w:vAlign w:val="center"/>
            <w:tcMar>
              <w:top w:w="90" w:type="dxa"/>
              <w:start w:w="110" w:type="dxa"/>
              <w:bottom w:w="90" w:type="dxa"/>
              <w:end w:w="110" w:type="dxa"/>
            </w:tcMar>
            <w:shd w:fill="134E4A"/>
          </w:tcPr>
          <w:p>
            <w:pPr>
              <w:spacing w:after="0"/>
            </w:pPr>
            <w:r>
              <w:rPr>
                <w:b/>
                <w:color w:val="FFFFFF"/>
                <w:sz w:val="17"/>
              </w:rPr>
              <w:t>Representative MIME type</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.pdf</w:t>
            </w:r>
          </w:p>
        </w:tc>
        <w:tc>
          <w:tcPr>
            <w:tcW w:type="dxa" w:w="3360"/>
            <w:vAlign w:val="center"/>
            <w:tcMar>
              <w:top w:w="90" w:type="dxa"/>
              <w:start w:w="110" w:type="dxa"/>
              <w:bottom w:w="90" w:type="dxa"/>
              <w:end w:w="110" w:type="dxa"/>
            </w:tcMar>
          </w:tcPr>
          <w:p>
            <w:pPr>
              <w:spacing w:after="0"/>
            </w:pPr>
            <w:r>
              <w:rPr>
                <w:sz w:val="17"/>
              </w:rPr>
              <w:t>PDF</w:t>
            </w:r>
          </w:p>
        </w:tc>
        <w:tc>
          <w:tcPr>
            <w:tcW w:type="dxa" w:w="3360"/>
            <w:vAlign w:val="center"/>
            <w:tcMar>
              <w:top w:w="90" w:type="dxa"/>
              <w:start w:w="110" w:type="dxa"/>
              <w:bottom w:w="90" w:type="dxa"/>
              <w:end w:w="110" w:type="dxa"/>
            </w:tcMar>
          </w:tcPr>
          <w:p>
            <w:pPr>
              <w:spacing w:after="0"/>
            </w:pPr>
            <w:r>
              <w:rPr>
                <w:rFonts w:ascii="Aptos Mono" w:hAnsi="Aptos Mono"/>
                <w:color w:val="0F766E"/>
                <w:sz w:val="17"/>
              </w:rPr>
              <w:t>application/pdf</w:t>
            </w:r>
          </w:p>
        </w:tc>
      </w:tr>
      <w:tr>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.txt</w:t>
            </w:r>
          </w:p>
        </w:tc>
        <w:tc>
          <w:tcPr>
            <w:tcW w:type="dxa" w:w="3360"/>
            <w:vAlign w:val="center"/>
            <w:tcMar>
              <w:top w:w="90" w:type="dxa"/>
              <w:start w:w="110" w:type="dxa"/>
              <w:bottom w:w="90" w:type="dxa"/>
              <w:end w:w="110" w:type="dxa"/>
            </w:tcMar>
            <w:shd w:fill="E6FFFB"/>
          </w:tcPr>
          <w:p>
            <w:pPr>
              <w:spacing w:after="0"/>
            </w:pPr>
            <w:r>
              <w:rPr>
                <w:sz w:val="17"/>
              </w:rPr>
              <w:t>TXT</w:t>
            </w:r>
          </w:p>
        </w:tc>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text/plain</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.csv</w:t>
            </w:r>
          </w:p>
        </w:tc>
        <w:tc>
          <w:tcPr>
            <w:tcW w:type="dxa" w:w="3360"/>
            <w:vAlign w:val="center"/>
            <w:tcMar>
              <w:top w:w="90" w:type="dxa"/>
              <w:start w:w="110" w:type="dxa"/>
              <w:bottom w:w="90" w:type="dxa"/>
              <w:end w:w="110" w:type="dxa"/>
            </w:tcMar>
          </w:tcPr>
          <w:p>
            <w:pPr>
              <w:spacing w:after="0"/>
            </w:pPr>
            <w:r>
              <w:rPr>
                <w:sz w:val="17"/>
              </w:rPr>
              <w:t>CSV</w:t>
            </w:r>
          </w:p>
        </w:tc>
        <w:tc>
          <w:tcPr>
            <w:tcW w:type="dxa" w:w="3360"/>
            <w:vAlign w:val="center"/>
            <w:tcMar>
              <w:top w:w="90" w:type="dxa"/>
              <w:start w:w="110" w:type="dxa"/>
              <w:bottom w:w="90" w:type="dxa"/>
              <w:end w:w="110" w:type="dxa"/>
            </w:tcMar>
          </w:tcPr>
          <w:p>
            <w:pPr>
              <w:spacing w:after="0"/>
            </w:pPr>
            <w:r>
              <w:rPr>
                <w:rFonts w:ascii="Aptos Mono" w:hAnsi="Aptos Mono"/>
                <w:color w:val="0F766E"/>
                <w:sz w:val="17"/>
              </w:rPr>
              <w:t>text/csv</w:t>
            </w:r>
          </w:p>
        </w:tc>
      </w:tr>
      <w:tr>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.docx</w:t>
            </w:r>
          </w:p>
        </w:tc>
        <w:tc>
          <w:tcPr>
            <w:tcW w:type="dxa" w:w="3360"/>
            <w:vAlign w:val="center"/>
            <w:tcMar>
              <w:top w:w="90" w:type="dxa"/>
              <w:start w:w="110" w:type="dxa"/>
              <w:bottom w:w="90" w:type="dxa"/>
              <w:end w:w="110" w:type="dxa"/>
            </w:tcMar>
            <w:shd w:fill="E6FFFB"/>
          </w:tcPr>
          <w:p>
            <w:pPr>
              <w:spacing w:after="0"/>
            </w:pPr>
            <w:r>
              <w:rPr>
                <w:sz w:val="17"/>
              </w:rPr>
              <w:t>DOCX</w:t>
            </w:r>
          </w:p>
        </w:tc>
        <w:tc>
          <w:tcPr>
            <w:tcW w:type="dxa" w:w="3360"/>
            <w:vAlign w:val="center"/>
            <w:tcMar>
              <w:top w:w="90" w:type="dxa"/>
              <w:start w:w="110" w:type="dxa"/>
              <w:bottom w:w="90" w:type="dxa"/>
              <w:end w:w="110" w:type="dxa"/>
            </w:tcMar>
            <w:shd w:fill="E6FFFB"/>
          </w:tcPr>
          <w:p>
            <w:pPr>
              <w:spacing w:after="0"/>
            </w:pPr>
            <w:r>
              <w:rPr>
                <w:sz w:val="17"/>
              </w:rPr>
              <w:t>WordprocessingML</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.xlsx</w:t>
            </w:r>
          </w:p>
        </w:tc>
        <w:tc>
          <w:tcPr>
            <w:tcW w:type="dxa" w:w="3360"/>
            <w:vAlign w:val="center"/>
            <w:tcMar>
              <w:top w:w="90" w:type="dxa"/>
              <w:start w:w="110" w:type="dxa"/>
              <w:bottom w:w="90" w:type="dxa"/>
              <w:end w:w="110" w:type="dxa"/>
            </w:tcMar>
          </w:tcPr>
          <w:p>
            <w:pPr>
              <w:spacing w:after="0"/>
            </w:pPr>
            <w:r>
              <w:rPr>
                <w:sz w:val="17"/>
              </w:rPr>
              <w:t>XLSX</w:t>
            </w:r>
          </w:p>
        </w:tc>
        <w:tc>
          <w:tcPr>
            <w:tcW w:type="dxa" w:w="3360"/>
            <w:vAlign w:val="center"/>
            <w:tcMar>
              <w:top w:w="90" w:type="dxa"/>
              <w:start w:w="110" w:type="dxa"/>
              <w:bottom w:w="90" w:type="dxa"/>
              <w:end w:w="110" w:type="dxa"/>
            </w:tcMar>
          </w:tcPr>
          <w:p>
            <w:pPr>
              <w:spacing w:after="0"/>
            </w:pPr>
            <w:r>
              <w:rPr>
                <w:sz w:val="17"/>
              </w:rPr>
              <w:t>SpreadsheetML</w:t>
            </w:r>
          </w:p>
        </w:tc>
      </w:tr>
      <w:tr>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.xls</w:t>
            </w:r>
          </w:p>
        </w:tc>
        <w:tc>
          <w:tcPr>
            <w:tcW w:type="dxa" w:w="3360"/>
            <w:vAlign w:val="center"/>
            <w:tcMar>
              <w:top w:w="90" w:type="dxa"/>
              <w:start w:w="110" w:type="dxa"/>
              <w:bottom w:w="90" w:type="dxa"/>
              <w:end w:w="110" w:type="dxa"/>
            </w:tcMar>
            <w:shd w:fill="E6FFFB"/>
          </w:tcPr>
          <w:p>
            <w:pPr>
              <w:spacing w:after="0"/>
            </w:pPr>
            <w:r>
              <w:rPr>
                <w:sz w:val="17"/>
              </w:rPr>
              <w:t>XLS</w:t>
            </w:r>
          </w:p>
        </w:tc>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application/vnd.ms-excel</w:t>
            </w:r>
          </w:p>
        </w:tc>
      </w:tr>
    </w:tbl>
    <w:p/>
    <w:p>
      <w:pPr>
        <w:keepLines w:val="0"/>
      </w:pPr>
      <w:r>
        <w:t>The server issues an opaque key in the form:</w:t>
      </w:r>
    </w:p>
    <w:p>
      <w:pPr>
        <w:keepLines w:val="0"/>
      </w:pPr>
      <w:r>
        <w:rPr>
          <w:rFonts w:ascii="Aptos Mono" w:hAnsi="Aptos Mono"/>
          <w:color w:val="0F766E"/>
          <w:sz w:val="18"/>
        </w:rPr>
        <w:t>kb/&lt;organizationId&gt;/&lt;uuid&gt;.&lt;approved-extension&gt;</w:t>
      </w:r>
    </w:p>
    <w:p>
      <w:pPr>
        <w:keepLines w:val="0"/>
      </w:pPr>
      <w:r>
        <w:t>When the create request references an uploaded file, the key must match the active organization and the declared source type. This prevents a client from submitting another tenant's S3 key or relabeling an object.</w:t>
      </w:r>
    </w:p>
    <w:p>
      <w:pPr>
        <w:keepLines w:val="0"/>
      </w:pPr>
      <w:r>
        <w:t xml:space="preserve">The default limit is 10 MB, configurable with </w:t>
      </w:r>
      <w:r>
        <w:rPr>
          <w:rFonts w:ascii="Aptos Mono" w:hAnsi="Aptos Mono"/>
          <w:color w:val="0F766E"/>
          <w:sz w:val="18"/>
        </w:rPr>
        <w:t>KB_MAX_UPLOAD_BYTES</w:t>
      </w:r>
      <w:r>
        <w:t xml:space="preserve"> up to 100 MB. Presigned upload requests include the expected content length and normalized content type. The console applies the same default limit for immediate feedback, while the server remains authoritative.</w:t>
      </w:r>
    </w:p>
    <w:p>
      <w:pPr>
        <w:keepLines w:val="0"/>
      </w:pPr>
      <w:r>
        <w:t>Deletion no longer swallows object or vector cleanup errors. A row is removed only after its external assets are handled.</w:t>
      </w:r>
    </w:p>
    <w:p>
      <w:pPr>
        <w:pStyle w:val="Heading2"/>
      </w:pPr>
      <w:r>
        <w:t>13. Outbound Batch Upload and Import Safety</w:t>
      </w:r>
    </w:p>
    <w:p>
      <w:pPr>
        <w:keepLines w:val="0"/>
      </w:pPr>
      <w:r>
        <w:t>Outbound batch upload now accepts only CSV and XLSX. It validates:</w:t>
      </w:r>
    </w:p>
    <w:p>
      <w:pPr>
        <w:pStyle w:val="ListBullet"/>
        <w:spacing w:after="40"/>
      </w:pPr>
      <w:r>
        <w:t>file name length;</w:t>
      </w:r>
    </w:p>
    <w:p>
      <w:pPr>
        <w:pStyle w:val="ListBullet"/>
        <w:spacing w:after="40"/>
      </w:pPr>
      <w:r>
        <w:t>extension and MIME compatibility;</w:t>
      </w:r>
    </w:p>
    <w:p>
      <w:pPr>
        <w:pStyle w:val="ListBullet"/>
        <w:spacing w:after="40"/>
      </w:pPr>
      <w:r>
        <w:t>positive file size;</w:t>
      </w:r>
    </w:p>
    <w:p>
      <w:pPr>
        <w:pStyle w:val="ListBullet"/>
        <w:spacing w:after="40"/>
      </w:pPr>
      <w:r>
        <w:t>default 5 MB upload limit;</w:t>
      </w:r>
    </w:p>
    <w:p>
      <w:pPr>
        <w:pStyle w:val="ListBullet"/>
        <w:spacing w:after="40"/>
      </w:pPr>
      <w:r>
        <w:t>server-generated object key format;</w:t>
      </w:r>
    </w:p>
    <w:p>
      <w:pPr>
        <w:pStyle w:val="ListBullet"/>
        <w:spacing w:after="40"/>
      </w:pPr>
      <w:r>
        <w:t>organization namespace;</w:t>
      </w:r>
    </w:p>
    <w:p>
      <w:pPr>
        <w:pStyle w:val="ListBullet"/>
        <w:spacing w:after="40"/>
      </w:pPr>
      <w:r>
        <w:t>file-name and key extension agreement; and</w:t>
      </w:r>
    </w:p>
    <w:p>
      <w:pPr>
        <w:pStyle w:val="ListBullet"/>
        <w:spacing w:after="40"/>
      </w:pPr>
      <w:r>
        <w:t>default 10,000-recipient import limit.</w:t>
      </w:r>
    </w:p>
    <w:p>
      <w:pPr>
        <w:keepLines w:val="0"/>
      </w:pPr>
      <w:r>
        <w:t>Relevant configuration:</w:t>
      </w:r>
    </w:p>
    <w:tbl>
      <w:tblPr>
        <w:tblStyle w:val="TableGrid"/>
        <w:tblW w:type="auto" w:w="0"/>
        <w:jc w:val="center"/>
        <w:tblLook w:firstColumn="1" w:firstRow="1" w:lastColumn="0" w:lastRow="0" w:noHBand="0" w:noVBand="1" w:val="04A0"/>
      </w:tblPr>
      <w:tblGrid>
        <w:gridCol w:w="3360"/>
        <w:gridCol w:w="3360"/>
        <w:gridCol w:w="3360"/>
      </w:tblGrid>
      <w:tr>
        <w:trPr>
          <w:tblHeader/>
        </w:trPr>
        <w:tc>
          <w:tcPr>
            <w:tcW w:type="dxa" w:w="3360"/>
            <w:vAlign w:val="center"/>
            <w:tcMar>
              <w:top w:w="90" w:type="dxa"/>
              <w:start w:w="110" w:type="dxa"/>
              <w:bottom w:w="90" w:type="dxa"/>
              <w:end w:w="110" w:type="dxa"/>
            </w:tcMar>
            <w:shd w:fill="134E4A"/>
          </w:tcPr>
          <w:p>
            <w:pPr>
              <w:spacing w:after="0"/>
            </w:pPr>
            <w:r>
              <w:rPr>
                <w:b/>
                <w:color w:val="FFFFFF"/>
                <w:sz w:val="17"/>
              </w:rPr>
              <w:t>Variable</w:t>
            </w:r>
          </w:p>
        </w:tc>
        <w:tc>
          <w:tcPr>
            <w:tcW w:type="dxa" w:w="3360"/>
            <w:vAlign w:val="center"/>
            <w:tcMar>
              <w:top w:w="90" w:type="dxa"/>
              <w:start w:w="110" w:type="dxa"/>
              <w:bottom w:w="90" w:type="dxa"/>
              <w:end w:w="110" w:type="dxa"/>
            </w:tcMar>
            <w:shd w:fill="134E4A"/>
          </w:tcPr>
          <w:p>
            <w:pPr>
              <w:spacing w:after="0"/>
            </w:pPr>
            <w:r>
              <w:rPr>
                <w:b/>
                <w:color w:val="FFFFFF"/>
                <w:sz w:val="17"/>
              </w:rPr>
              <w:t>Default</w:t>
            </w:r>
          </w:p>
        </w:tc>
        <w:tc>
          <w:tcPr>
            <w:tcW w:type="dxa" w:w="3360"/>
            <w:vAlign w:val="center"/>
            <w:tcMar>
              <w:top w:w="90" w:type="dxa"/>
              <w:start w:w="110" w:type="dxa"/>
              <w:bottom w:w="90" w:type="dxa"/>
              <w:end w:w="110" w:type="dxa"/>
            </w:tcMar>
            <w:shd w:fill="134E4A"/>
          </w:tcPr>
          <w:p>
            <w:pPr>
              <w:spacing w:after="0"/>
            </w:pPr>
            <w:r>
              <w:rPr>
                <w:b/>
                <w:color w:val="FFFFFF"/>
                <w:sz w:val="17"/>
              </w:rPr>
              <w:t>Maximum accepted</w:t>
            </w:r>
          </w:p>
        </w:tc>
      </w:tr>
      <w:tr>
        <w:tc>
          <w:tcPr>
            <w:tcW w:type="dxa" w:w="3360"/>
            <w:vAlign w:val="center"/>
            <w:tcMar>
              <w:top w:w="90" w:type="dxa"/>
              <w:start w:w="110" w:type="dxa"/>
              <w:bottom w:w="90" w:type="dxa"/>
              <w:end w:w="110" w:type="dxa"/>
            </w:tcMar>
          </w:tcPr>
          <w:p>
            <w:pPr>
              <w:spacing w:after="0"/>
            </w:pPr>
            <w:r>
              <w:rPr>
                <w:rFonts w:ascii="Aptos Mono" w:hAnsi="Aptos Mono"/>
                <w:color w:val="0F766E"/>
                <w:sz w:val="17"/>
              </w:rPr>
              <w:t>OUTBOUND_BATCH_MAX_UPLOAD_BYTES</w:t>
            </w:r>
          </w:p>
        </w:tc>
        <w:tc>
          <w:tcPr>
            <w:tcW w:type="dxa" w:w="3360"/>
            <w:vAlign w:val="center"/>
            <w:tcMar>
              <w:top w:w="90" w:type="dxa"/>
              <w:start w:w="110" w:type="dxa"/>
              <w:bottom w:w="90" w:type="dxa"/>
              <w:end w:w="110" w:type="dxa"/>
            </w:tcMar>
          </w:tcPr>
          <w:p>
            <w:pPr>
              <w:spacing w:after="0"/>
            </w:pPr>
            <w:r>
              <w:rPr>
                <w:sz w:val="17"/>
              </w:rPr>
              <w:t>5 MB</w:t>
            </w:r>
          </w:p>
        </w:tc>
        <w:tc>
          <w:tcPr>
            <w:tcW w:type="dxa" w:w="3360"/>
            <w:vAlign w:val="center"/>
            <w:tcMar>
              <w:top w:w="90" w:type="dxa"/>
              <w:start w:w="110" w:type="dxa"/>
              <w:bottom w:w="90" w:type="dxa"/>
              <w:end w:w="110" w:type="dxa"/>
            </w:tcMar>
          </w:tcPr>
          <w:p>
            <w:pPr>
              <w:spacing w:after="0"/>
            </w:pPr>
            <w:r>
              <w:rPr>
                <w:sz w:val="17"/>
              </w:rPr>
              <w:t>50 MB</w:t>
            </w:r>
          </w:p>
        </w:tc>
      </w:tr>
      <w:tr>
        <w:tc>
          <w:tcPr>
            <w:tcW w:type="dxa" w:w="3360"/>
            <w:vAlign w:val="center"/>
            <w:tcMar>
              <w:top w:w="90" w:type="dxa"/>
              <w:start w:w="110" w:type="dxa"/>
              <w:bottom w:w="90" w:type="dxa"/>
              <w:end w:w="110" w:type="dxa"/>
            </w:tcMar>
            <w:shd w:fill="E6FFFB"/>
          </w:tcPr>
          <w:p>
            <w:pPr>
              <w:spacing w:after="0"/>
            </w:pPr>
            <w:r>
              <w:rPr>
                <w:rFonts w:ascii="Aptos Mono" w:hAnsi="Aptos Mono"/>
                <w:color w:val="0F766E"/>
                <w:sz w:val="17"/>
              </w:rPr>
              <w:t>OUTBOUND_BATCH_MAX_RECIPIENTS</w:t>
            </w:r>
          </w:p>
        </w:tc>
        <w:tc>
          <w:tcPr>
            <w:tcW w:type="dxa" w:w="3360"/>
            <w:vAlign w:val="center"/>
            <w:tcMar>
              <w:top w:w="90" w:type="dxa"/>
              <w:start w:w="110" w:type="dxa"/>
              <w:bottom w:w="90" w:type="dxa"/>
              <w:end w:w="110" w:type="dxa"/>
            </w:tcMar>
            <w:shd w:fill="E6FFFB"/>
          </w:tcPr>
          <w:p>
            <w:pPr>
              <w:spacing w:after="0"/>
            </w:pPr>
            <w:r>
              <w:rPr>
                <w:sz w:val="17"/>
              </w:rPr>
              <w:t>10,000</w:t>
            </w:r>
          </w:p>
        </w:tc>
        <w:tc>
          <w:tcPr>
            <w:tcW w:type="dxa" w:w="3360"/>
            <w:vAlign w:val="center"/>
            <w:tcMar>
              <w:top w:w="90" w:type="dxa"/>
              <w:start w:w="110" w:type="dxa"/>
              <w:bottom w:w="90" w:type="dxa"/>
              <w:end w:w="110" w:type="dxa"/>
            </w:tcMar>
            <w:shd w:fill="E6FFFB"/>
          </w:tcPr>
          <w:p>
            <w:pPr>
              <w:spacing w:after="0"/>
            </w:pPr>
            <w:r>
              <w:rPr>
                <w:sz w:val="17"/>
              </w:rPr>
              <w:t>100,000</w:t>
            </w:r>
          </w:p>
        </w:tc>
      </w:tr>
    </w:tbl>
    <w:p/>
    <w:p>
      <w:pPr>
        <w:keepLines w:val="0"/>
      </w:pPr>
      <w:r>
        <w:t xml:space="preserve">Invalid parse or recipient-limit failures mark the campaign </w:t>
      </w:r>
      <w:r>
        <w:rPr>
          <w:rFonts w:ascii="Aptos Mono" w:hAnsi="Aptos Mono"/>
          <w:color w:val="0F766E"/>
          <w:sz w:val="18"/>
        </w:rPr>
        <w:t>FAILED</w:t>
      </w:r>
      <w:r>
        <w:t xml:space="preserve"> instead of leaving it indefinitely scheduled. The console uses the content type returned by the server and rejects oversized files before requesting an upload URL.</w:t>
      </w:r>
    </w:p>
    <w:p>
      <w:pPr>
        <w:pStyle w:val="Heading2"/>
      </w:pPr>
      <w:r>
        <w:t>14. API Documentation</w:t>
      </w:r>
    </w:p>
    <w:p>
      <w:pPr>
        <w:keepLines w:val="0"/>
      </w:pPr>
      <w:r>
        <w:t>The OpenAPI specification is expanded to describe the actual changed contract, including:</w:t>
      </w:r>
    </w:p>
    <w:p>
      <w:pPr>
        <w:pStyle w:val="ListBullet"/>
        <w:spacing w:after="40"/>
      </w:pPr>
      <w:r>
        <w:t>writable privacy and retention controls;</w:t>
      </w:r>
    </w:p>
    <w:p>
      <w:pPr>
        <w:pStyle w:val="ListBullet"/>
        <w:spacing w:after="40"/>
      </w:pPr>
      <w:r>
        <w:t>agent deletion semantics;</w:t>
      </w:r>
    </w:p>
    <w:p>
      <w:pPr>
        <w:pStyle w:val="ListBullet"/>
        <w:spacing w:after="40"/>
      </w:pPr>
      <w:r>
        <w:t>KB upload response fields and file types;</w:t>
      </w:r>
    </w:p>
    <w:p>
      <w:pPr>
        <w:pStyle w:val="ListBullet"/>
        <w:spacing w:after="40"/>
      </w:pPr>
      <w:r>
        <w:t>KB job metadata and retry;</w:t>
      </w:r>
    </w:p>
    <w:p>
      <w:pPr>
        <w:pStyle w:val="ListBullet"/>
        <w:spacing w:after="40"/>
      </w:pPr>
      <w:r>
        <w:t>outbound batch upload and campaign operations;</w:t>
      </w:r>
    </w:p>
    <w:p>
      <w:pPr>
        <w:pStyle w:val="ListBullet"/>
        <w:spacing w:after="40"/>
      </w:pPr>
      <w:r>
        <w:t>call filter validation;</w:t>
      </w:r>
    </w:p>
    <w:p>
      <w:pPr>
        <w:pStyle w:val="ListBullet"/>
        <w:spacing w:after="40"/>
      </w:pPr>
      <w:r>
        <w:t>billing usage;</w:t>
      </w:r>
    </w:p>
    <w:p>
      <w:pPr>
        <w:pStyle w:val="ListBullet"/>
        <w:spacing w:after="40"/>
      </w:pPr>
      <w:r>
        <w:t>failure reason fields;</w:t>
      </w:r>
    </w:p>
    <w:p>
      <w:pPr>
        <w:pStyle w:val="ListBullet"/>
        <w:spacing w:after="40"/>
      </w:pPr>
      <w:r>
        <w:t>tool secret placeholder behavior; and</w:t>
      </w:r>
    </w:p>
    <w:p>
      <w:pPr>
        <w:pStyle w:val="ListBullet"/>
        <w:spacing w:after="40"/>
      </w:pPr>
      <w:r>
        <w:t>readiness semantics.</w:t>
      </w:r>
    </w:p>
    <w:p>
      <w:pPr>
        <w:keepLines w:val="0"/>
      </w:pPr>
      <w:r>
        <w:t>The specification distinguishes user session/API-key security from internal endpoints and adds focused tests to ensure required paths remain present.</w:t>
      </w:r>
    </w:p>
    <w:p>
      <w:pPr>
        <w:pStyle w:val="Heading2"/>
      </w:pPr>
      <w:r>
        <w:t>15. AI Worker and Runtime Dependencies</w:t>
      </w:r>
    </w:p>
    <w:p>
      <w:pPr>
        <w:keepLines w:val="0"/>
      </w:pPr>
      <w:r>
        <w:t xml:space="preserve">The LiveKit agent dependency is updated from the older 1.2 line to the 1.6 line. Turn detection moves from the removed multilingual plugin model to LiveKit inference </w:t>
      </w:r>
      <w:r>
        <w:rPr>
          <w:rFonts w:ascii="Aptos Mono" w:hAnsi="Aptos Mono"/>
          <w:color w:val="0F766E"/>
          <w:sz w:val="18"/>
        </w:rPr>
        <w:t>TurnDetector</w:t>
      </w:r>
      <w:r>
        <w:t>, with preemptive generation configured in the turn-handling options.</w:t>
      </w:r>
    </w:p>
    <w:p>
      <w:pPr>
        <w:keepLines w:val="0"/>
      </w:pPr>
      <w:r>
        <w:t>The recording worker no longer supplies a hard-coded fallback S3 bucket. Recording storage fails clearly when a bucket is not configured, preventing production audio from being written to an unintended legacy bucket.</w:t>
      </w:r>
    </w:p>
    <w:p>
      <w:pPr>
        <w:keepLines w:val="0"/>
      </w:pPr>
      <w:r>
        <w:t>Runtime requirements and test/audit requirements are split:</w:t>
      </w:r>
    </w:p>
    <w:p>
      <w:pPr>
        <w:pStyle w:val="ListBullet"/>
        <w:spacing w:after="40"/>
      </w:pPr>
      <w:r>
        <w:rPr>
          <w:rFonts w:ascii="Aptos Mono" w:hAnsi="Aptos Mono"/>
          <w:color w:val="0F766E"/>
          <w:sz w:val="18"/>
        </w:rPr>
        <w:t>requirements.txt</w:t>
      </w:r>
      <w:r>
        <w:t xml:space="preserve"> contains runtime dependencies;</w:t>
      </w:r>
    </w:p>
    <w:p>
      <w:pPr>
        <w:pStyle w:val="ListBullet"/>
        <w:spacing w:after="40"/>
      </w:pPr>
      <w:r>
        <w:rPr>
          <w:rFonts w:ascii="Aptos Mono" w:hAnsi="Aptos Mono"/>
          <w:color w:val="0F766E"/>
          <w:sz w:val="18"/>
        </w:rPr>
        <w:t>requirements-dev.txt</w:t>
      </w:r>
      <w:r>
        <w:t xml:space="preserve"> adds the runtime set, </w:t>
      </w:r>
      <w:r>
        <w:rPr>
          <w:rFonts w:ascii="Aptos Mono" w:hAnsi="Aptos Mono"/>
          <w:color w:val="0F766E"/>
          <w:sz w:val="18"/>
        </w:rPr>
        <w:t>pytest</w:t>
      </w:r>
      <w:r>
        <w:t xml:space="preserve">, and </w:t>
      </w:r>
      <w:r>
        <w:rPr>
          <w:rFonts w:ascii="Aptos Mono" w:hAnsi="Aptos Mono"/>
          <w:color w:val="0F766E"/>
          <w:sz w:val="18"/>
        </w:rPr>
        <w:t>pip-audit</w:t>
      </w:r>
      <w:r>
        <w:t>;</w:t>
      </w:r>
    </w:p>
    <w:p>
      <w:pPr>
        <w:pStyle w:val="ListBullet"/>
        <w:spacing w:after="40"/>
      </w:pPr>
      <w:r>
        <w:t>CI installs the development requirements;</w:t>
      </w:r>
    </w:p>
    <w:p>
      <w:pPr>
        <w:pStyle w:val="ListBullet"/>
        <w:spacing w:after="40"/>
      </w:pPr>
      <w:r>
        <w:t>AI tests run with warnings treated as errors; and</w:t>
      </w:r>
    </w:p>
    <w:p>
      <w:pPr>
        <w:pStyle w:val="ListBullet"/>
        <w:spacing w:after="40"/>
      </w:pPr>
      <w:r>
        <w:t>Docker's optional CPU Torch preinstall is bounded to a supported major</w:t>
      </w:r>
    </w:p>
    <w:p>
      <w:pPr>
        <w:keepLines w:val="0"/>
      </w:pPr>
      <w:r>
        <w:t>version.</w:t>
      </w:r>
    </w:p>
    <w:p>
      <w:pPr>
        <w:pStyle w:val="Heading2"/>
      </w:pPr>
      <w:r>
        <w:t>16. Console Reliability and Usability</w:t>
      </w:r>
    </w:p>
    <w:p>
      <w:pPr>
        <w:keepLines w:val="0"/>
      </w:pPr>
      <w:r>
        <w:t>In addition to the KB, billing, agent, and retention controls described above, the console change set includes:</w:t>
      </w:r>
    </w:p>
    <w:p>
      <w:pPr>
        <w:pStyle w:val="ListBullet"/>
        <w:spacing w:after="40"/>
      </w:pPr>
      <w:r>
        <w:t>corrected local console and landing-site ports;</w:t>
      </w:r>
    </w:p>
    <w:p>
      <w:pPr>
        <w:pStyle w:val="ListBullet"/>
        <w:spacing w:after="40"/>
      </w:pPr>
      <w:r>
        <w:t>stable relative-range and calendar-date call filters;</w:t>
      </w:r>
    </w:p>
    <w:p>
      <w:pPr>
        <w:pStyle w:val="ListBullet"/>
        <w:spacing w:after="40"/>
      </w:pPr>
      <w:r>
        <w:t>clamped pagination after deletion or filtering;</w:t>
      </w:r>
    </w:p>
    <w:p>
      <w:pPr>
        <w:pStyle w:val="ListBullet"/>
        <w:spacing w:after="40"/>
      </w:pPr>
      <w:r>
        <w:t>mobile and desktop agent actions that expose preview and confirmed deletion;</w:t>
      </w:r>
    </w:p>
    <w:p>
      <w:pPr>
        <w:pStyle w:val="ListBullet"/>
        <w:spacing w:after="40"/>
      </w:pPr>
      <w:r>
        <w:t>secret editors that distinguish an unchanged redacted secret from an empty</w:t>
      </w:r>
    </w:p>
    <w:p>
      <w:pPr>
        <w:keepLines w:val="0"/>
      </w:pPr>
      <w:r>
        <w:t>replacement;</w:t>
      </w:r>
    </w:p>
    <w:p>
      <w:pPr>
        <w:pStyle w:val="ListBullet"/>
        <w:spacing w:after="40"/>
      </w:pPr>
      <w:r>
        <w:t>stricter webhook URL behavior;</w:t>
      </w:r>
    </w:p>
    <w:p>
      <w:pPr>
        <w:pStyle w:val="ListBullet"/>
        <w:spacing w:after="40"/>
      </w:pPr>
      <w:r>
        <w:t>dynamic voice catalog fallback wording and compatibility cleanup; and</w:t>
      </w:r>
    </w:p>
    <w:p>
      <w:pPr>
        <w:pStyle w:val="ListBullet"/>
        <w:spacing w:after="40"/>
      </w:pPr>
      <w:r>
        <w:t>stronger source-contract tests for previously audited failure, retry,</w:t>
      </w:r>
    </w:p>
    <w:p>
      <w:pPr>
        <w:keepLines w:val="0"/>
      </w:pPr>
      <w:r>
        <w:t>accessibility, and workflow states.</w:t>
      </w:r>
    </w:p>
    <w:p>
      <w:pPr>
        <w:keepLines w:val="0"/>
      </w:pPr>
      <w:r>
        <w:t xml:space="preserve">The obsolete </w:t>
      </w:r>
      <w:r>
        <w:rPr>
          <w:rFonts w:ascii="Aptos Mono" w:hAnsi="Aptos Mono"/>
          <w:color w:val="0F766E"/>
          <w:sz w:val="18"/>
        </w:rPr>
        <w:t>AgentCard</w:t>
      </w:r>
      <w:r>
        <w:t xml:space="preserve"> component is removed after the agent list is consolidated into responsive table/mobile views.</w:t>
      </w:r>
    </w:p>
    <w:p>
      <w:pPr>
        <w:pStyle w:val="Heading2"/>
      </w:pPr>
      <w:r>
        <w:t>17. Public Site and Marketing Consistency</w:t>
      </w:r>
    </w:p>
    <w:p>
      <w:pPr>
        <w:keepLines w:val="0"/>
      </w:pPr>
      <w:r>
        <w:t>Public-facing license language now consistently says MIT rather than AGPL. The footer identifies QuickVoice contributors and the MIT license, and structured FAQ content matches visible FAQ content.</w:t>
      </w:r>
    </w:p>
    <w:p>
      <w:pPr>
        <w:keepLines w:val="0"/>
      </w:pPr>
      <w:r>
        <w:t>Targeted pricing and HIPAA copy no longer implies that choosing a repository or plan is enough to establish compliance. The associated source-contract test checks for the safer deployment-outcome language and rejects the stale 15-minute homepage and FAQ claims.</w:t>
      </w:r>
    </w:p>
    <w:p>
      <w:pPr>
        <w:keepLines w:val="0"/>
      </w:pPr>
      <w:r>
        <w:t xml:space="preserve">The particle component is adapted to the upgraded </w:t>
      </w:r>
      <w:r>
        <w:rPr>
          <w:rFonts w:ascii="Aptos Mono" w:hAnsi="Aptos Mono"/>
          <w:color w:val="0F766E"/>
          <w:sz w:val="18"/>
        </w:rPr>
        <w:t>@tsparticles</w:t>
      </w:r>
      <w:r>
        <w:t xml:space="preserve"> v4 provider API. Development-only successful image-load logging is removed from two landing sections to avoid noisy browser output.</w:t>
      </w:r>
    </w:p>
    <w:p>
      <w:pPr>
        <w:keepLines w:val="0"/>
      </w:pPr>
      <w:r>
        <w:t>Launch, positioning, marketing, and sales copy is updated so it does not promise AGPL obligations or commercial-license terms that no longer match the repository.</w:t>
      </w:r>
    </w:p>
    <w:p>
      <w:pPr>
        <w:keepLines w:val="0"/>
      </w:pPr>
      <w:r>
        <w:t>The launch-scoped claims audit passes for the open-source launch surface. However, the repository-wide claims inventory still blocks on 632 potential unsupported claims across 407 files: 280 certification or regulatory claims, 105 absolute-outcome claims, 74 integration claims, 59 deployment-speed claims, 48 QuickVoice metric claims, 43 language-count claims, and 23 adoption claims. These are primarily in the broader industry, solution, component, and blog catalog inherited from the current base. They require evidence registration or copy changes in a dedicated marketing-compliance pass and must not be represented as resolved by this remediation.</w:t>
      </w:r>
    </w:p>
    <w:p>
      <w:pPr>
        <w:pStyle w:val="Heading2"/>
      </w:pPr>
      <w:r>
        <w:t>18. Dependency and Supply-Chain Remediation</w:t>
      </w:r>
    </w:p>
    <w:p>
      <w:pPr>
        <w:keepLines w:val="0"/>
      </w:pPr>
      <w:r>
        <w:t>The Node dependency graph is refreshed and constrained, including updates to Next.js, Better Auth, Stripe, Morgan, Fast XML Parser, TypeScript ESLint, Turborepo, tsx, tsParticles, and transitive vulnerable packages.</w:t>
      </w:r>
    </w:p>
    <w:p>
      <w:pPr>
        <w:keepLines w:val="0"/>
      </w:pPr>
      <w:r>
        <w:t>The root Node engine is raised to:</w:t>
      </w:r>
    </w:p>
    <w:p>
      <w:pPr>
        <w:keepLines w:val="0"/>
      </w:pPr>
      <w:r>
        <w:rPr>
          <w:rFonts w:ascii="Aptos Mono" w:hAnsi="Aptos Mono"/>
          <w:color w:val="0F766E"/>
          <w:sz w:val="18"/>
        </w:rPr>
        <w:t>^20.19 || ^22.13 || &gt;=24</w:t>
      </w:r>
    </w:p>
    <w:p>
      <w:pPr>
        <w:keepLines w:val="0"/>
      </w:pPr>
      <w:r>
        <w:t>This matches current dependency runtime requirements and prevents unsupported Node versions from being treated as valid.</w:t>
      </w:r>
    </w:p>
    <w:p>
      <w:pPr>
        <w:keepLines w:val="0"/>
      </w:pPr>
      <w:r>
        <w:t>The same range is now used by the root manifest, developer doctor, setup documentation, contribution guidance, console requirements, release documentation, and orchestration tests. The doctor intentionally rejects Node 21 and 23 as unsupported odd-numbered lines instead of accepting every major version above 20.</w:t>
      </w:r>
    </w:p>
    <w:p>
      <w:pPr>
        <w:keepLines w:val="0"/>
      </w:pPr>
      <w:r>
        <w:t>The security gate now:</w:t>
      </w:r>
    </w:p>
    <w:p>
      <w:pPr>
        <w:pStyle w:val="ListBullet"/>
        <w:spacing w:after="40"/>
      </w:pPr>
      <w:r>
        <w:t xml:space="preserve">defaults to </w:t>
      </w:r>
      <w:r>
        <w:rPr>
          <w:rFonts w:ascii="Aptos Mono" w:hAnsi="Aptos Mono"/>
          <w:color w:val="0F766E"/>
          <w:sz w:val="18"/>
        </w:rPr>
        <w:t>low</w:t>
      </w:r>
      <w:r>
        <w:t xml:space="preserve"> severity;</w:t>
      </w:r>
    </w:p>
    <w:p>
      <w:pPr>
        <w:pStyle w:val="ListBullet"/>
        <w:spacing w:after="40"/>
      </w:pPr>
      <w:r>
        <w:t>rejects invalid or unknown CLI arguments;</w:t>
      </w:r>
    </w:p>
    <w:p>
      <w:pPr>
        <w:pStyle w:val="ListBullet"/>
        <w:spacing w:after="40"/>
      </w:pPr>
      <w:r>
        <w:t>treats an audit execution error as a gate failure;</w:t>
      </w:r>
    </w:p>
    <w:p>
      <w:pPr>
        <w:pStyle w:val="ListBullet"/>
        <w:spacing w:after="40"/>
      </w:pPr>
      <w:r>
        <w:t>validates suppression-file structure;</w:t>
      </w:r>
    </w:p>
    <w:p>
      <w:pPr>
        <w:pStyle w:val="ListBullet"/>
        <w:spacing w:after="40"/>
      </w:pPr>
      <w:r>
        <w:t>distinguishes advisories below the chosen threshold;</w:t>
      </w:r>
    </w:p>
    <w:p>
      <w:pPr>
        <w:pStyle w:val="ListBullet"/>
        <w:spacing w:after="40"/>
      </w:pPr>
      <w:r>
        <w:t>runs production and complete dependency contexts; and</w:t>
      </w:r>
    </w:p>
    <w:p>
      <w:pPr>
        <w:pStyle w:val="ListBullet"/>
        <w:spacing w:after="40"/>
      </w:pPr>
      <w:r>
        <w:t>operates with an empty suppression list.</w:t>
      </w:r>
    </w:p>
    <w:p>
      <w:pPr>
        <w:keepLines w:val="0"/>
      </w:pPr>
      <w:r>
        <w:t>#### Minimatch compatibility patch</w:t>
      </w:r>
    </w:p>
    <w:p>
      <w:pPr>
        <w:keepLines w:val="0"/>
      </w:pPr>
      <w:r>
        <w:t>The dependency graph overrides vulnerable older minimatch lines to 10.2.5. A small pnpm patch preserves the callable CommonJS export expected by consumers written for minimatch 3 and 9 while retaining modern named exports.</w:t>
      </w:r>
    </w:p>
    <w:p>
      <w:pPr>
        <w:keepLines w:val="0"/>
      </w:pPr>
      <w:r>
        <w:t>This patch is intentionally narrow but deserves reviewer attention because it bridges a major-version API boundary. It should be removed when the remaining consumers natively support a non-vulnerable version without compatibility adaptation.</w:t>
      </w:r>
    </w:p>
    <w:p>
      <w:pPr>
        <w:pStyle w:val="Heading2"/>
      </w:pPr>
      <w:r>
        <w:t>19. CI and Developer Workflow</w:t>
      </w:r>
    </w:p>
    <w:p>
      <w:pPr>
        <w:keepLines w:val="0"/>
      </w:pPr>
      <w:r>
        <w:t>CI now:</w:t>
      </w:r>
    </w:p>
    <w:p>
      <w:pPr>
        <w:pStyle w:val="ListBullet"/>
        <w:spacing w:after="40"/>
      </w:pPr>
      <w:r>
        <w:t>caches both Python runtime and development requirement files;</w:t>
      </w:r>
    </w:p>
    <w:p>
      <w:pPr>
        <w:pStyle w:val="ListBullet"/>
        <w:spacing w:after="40"/>
      </w:pPr>
      <w:r>
        <w:t>installs one reproducible Python development requirement set;</w:t>
      </w:r>
    </w:p>
    <w:p>
      <w:pPr>
        <w:pStyle w:val="ListBullet"/>
        <w:spacing w:after="40"/>
      </w:pPr>
      <w:r>
        <w:t xml:space="preserve">runs </w:t>
      </w:r>
      <w:r>
        <w:rPr>
          <w:rFonts w:ascii="Aptos Mono" w:hAnsi="Aptos Mono"/>
          <w:color w:val="0F766E"/>
          <w:sz w:val="18"/>
        </w:rPr>
        <w:t>pip-audit</w:t>
      </w:r>
      <w:r>
        <w:t>;</w:t>
      </w:r>
    </w:p>
    <w:p>
      <w:pPr>
        <w:pStyle w:val="ListBullet"/>
        <w:spacing w:after="40"/>
      </w:pPr>
      <w:r>
        <w:t>treats Python warnings as errors;</w:t>
      </w:r>
    </w:p>
    <w:p>
      <w:pPr>
        <w:pStyle w:val="ListBullet"/>
        <w:spacing w:after="40"/>
      </w:pPr>
      <w:r>
        <w:t xml:space="preserve">runs the Node dependency gate at </w:t>
      </w:r>
      <w:r>
        <w:rPr>
          <w:rFonts w:ascii="Aptos Mono" w:hAnsi="Aptos Mono"/>
          <w:color w:val="0F766E"/>
          <w:sz w:val="18"/>
        </w:rPr>
        <w:t>low</w:t>
      </w:r>
      <w:r>
        <w:t xml:space="preserve"> severity; and</w:t>
      </w:r>
    </w:p>
    <w:p>
      <w:pPr>
        <w:pStyle w:val="ListBullet"/>
        <w:spacing w:after="40"/>
      </w:pPr>
      <w:r>
        <w:t>keeps the frozen-lockfile install requirement.</w:t>
      </w:r>
    </w:p>
    <w:p>
      <w:pPr>
        <w:keepLines w:val="0"/>
      </w:pPr>
      <w:r>
        <w:rPr>
          <w:rFonts w:ascii="Aptos Mono" w:hAnsi="Aptos Mono"/>
          <w:color w:val="0F766E"/>
          <w:sz w:val="18"/>
        </w:rPr>
        <w:t>Taskfile.yml</w:t>
      </w:r>
      <w:r>
        <w:t xml:space="preserve"> and </w:t>
      </w:r>
      <w:r>
        <w:rPr>
          <w:rFonts w:ascii="Aptos Mono" w:hAnsi="Aptos Mono"/>
          <w:color w:val="0F766E"/>
          <w:sz w:val="18"/>
        </w:rPr>
        <w:t>scripts/ci-python.sh</w:t>
      </w:r>
      <w:r>
        <w:t xml:space="preserve"> align local Python setup with CI. README, contribution guidance, and testing guides document the stronger audit threshold and updated commands.</w:t>
      </w:r>
    </w:p>
    <w:p>
      <w:pPr>
        <w:keepLines w:val="0"/>
      </w:pPr>
      <w:r>
        <w:t>The docs prebuild refreshes the generated MCP reference so the KB update operation is listed as the 36th tool. This keeps the committed reference aligned with the route inventory used by the documentation build.</w:t>
      </w:r>
    </w:p>
    <w:p>
      <w:pPr>
        <w:keepLines w:val="0"/>
      </w:pPr>
      <w:r>
        <w:t>Historical audit files are labeled as snapshots so readers do not mistake old findings for live scan output.</w:t>
      </w:r>
    </w:p>
    <w:p>
      <w:pPr>
        <w:pStyle w:val="Heading1"/>
      </w:pPr>
      <w:r>
        <w:t>API Contract Summary</w:t>
      </w:r>
    </w:p>
    <w:p>
      <w:pPr>
        <w:pStyle w:val="Heading2"/>
      </w:pPr>
      <w:r>
        <w:t>New endpoint</w:t>
      </w:r>
    </w:p>
    <w:p>
      <w:pPr>
        <w:keepLines w:val="0"/>
      </w:pPr>
      <w:r>
        <w:rPr>
          <w:rFonts w:ascii="Aptos Mono" w:hAnsi="Aptos Mono"/>
          <w:color w:val="0F766E"/>
          <w:sz w:val="18"/>
        </w:rPr>
        <w:t>GET /api/v1/billing/usage</w:t>
      </w:r>
    </w:p>
    <w:p>
      <w:pPr>
        <w:keepLines w:val="0"/>
      </w:pPr>
      <w:r>
        <w:t>Requires authenticated call-log read permission and returns current period usage for the active organization.</w:t>
      </w:r>
    </w:p>
    <w:p>
      <w:pPr>
        <w:pStyle w:val="Heading2"/>
      </w:pPr>
      <w:r>
        <w:t>New endpoint</w:t>
      </w:r>
    </w:p>
    <w:p>
      <w:pPr>
        <w:keepLines w:val="0"/>
      </w:pPr>
      <w:r>
        <w:rPr>
          <w:rFonts w:ascii="Aptos Mono" w:hAnsi="Aptos Mono"/>
          <w:color w:val="0F766E"/>
          <w:sz w:val="18"/>
        </w:rPr>
        <w:t>POST /api/v1/kb/:kbId/retry</w:t>
      </w:r>
    </w:p>
    <w:p>
      <w:pPr>
        <w:keepLines w:val="0"/>
      </w:pPr>
      <w:r>
        <w:t xml:space="preserve">Requires knowledge-source create permission and returns </w:t>
      </w:r>
      <w:r>
        <w:rPr>
          <w:rFonts w:ascii="Aptos Mono" w:hAnsi="Aptos Mono"/>
          <w:color w:val="0F766E"/>
          <w:sz w:val="18"/>
        </w:rPr>
        <w:t>202 Accepted</w:t>
      </w:r>
      <w:r>
        <w:t xml:space="preserve"> after successfully claiming and queuing an eligible failed source.</w:t>
      </w:r>
    </w:p>
    <w:p>
      <w:pPr>
        <w:pStyle w:val="Heading2"/>
      </w:pPr>
      <w:r>
        <w:t>Changed upload query</w:t>
      </w:r>
    </w:p>
    <w:p>
      <w:pPr>
        <w:keepLines w:val="0"/>
      </w:pPr>
      <w:r>
        <w:t xml:space="preserve">Both KB and outbound batch upload URL requests now require </w:t>
      </w:r>
      <w:r>
        <w:rPr>
          <w:rFonts w:ascii="Aptos Mono" w:hAnsi="Aptos Mono"/>
          <w:color w:val="0F766E"/>
          <w:sz w:val="18"/>
        </w:rPr>
        <w:t>fileSize</w:t>
      </w:r>
      <w:r>
        <w:t xml:space="preserve">. Responses include normalized </w:t>
      </w:r>
      <w:r>
        <w:rPr>
          <w:rFonts w:ascii="Aptos Mono" w:hAnsi="Aptos Mono"/>
          <w:color w:val="0F766E"/>
          <w:sz w:val="18"/>
        </w:rPr>
        <w:t>contentType</w:t>
      </w:r>
      <w:r>
        <w:t xml:space="preserve"> and the applicable </w:t>
      </w:r>
      <w:r>
        <w:rPr>
          <w:rFonts w:ascii="Aptos Mono" w:hAnsi="Aptos Mono"/>
          <w:color w:val="0F766E"/>
          <w:sz w:val="18"/>
        </w:rPr>
        <w:t>maxUploadBytes</w:t>
      </w:r>
      <w:r>
        <w:t xml:space="preserve">; KB responses also include the server-derived </w:t>
      </w:r>
      <w:r>
        <w:rPr>
          <w:rFonts w:ascii="Aptos Mono" w:hAnsi="Aptos Mono"/>
          <w:color w:val="0F766E"/>
          <w:sz w:val="18"/>
        </w:rPr>
        <w:t>sourceType</w:t>
      </w:r>
      <w:r>
        <w:t>.</w:t>
      </w:r>
    </w:p>
    <w:p>
      <w:pPr>
        <w:pStyle w:val="Heading2"/>
      </w:pPr>
      <w:r>
        <w:t>Changed agent configuration</w:t>
      </w:r>
    </w:p>
    <w:p>
      <w:pPr>
        <w:keepLines w:val="0"/>
      </w:pPr>
      <w:r>
        <w:t>Agent configuration accepts:</w:t>
      </w:r>
    </w:p>
    <w:p>
      <w:pPr>
        <w:pStyle w:val="ListBullet"/>
        <w:spacing w:after="40"/>
      </w:pPr>
      <w:r>
        <w:rPr>
          <w:rFonts w:ascii="Aptos Mono" w:hAnsi="Aptos Mono"/>
          <w:color w:val="0F766E"/>
          <w:sz w:val="18"/>
        </w:rPr>
        <w:t>store_call_audio</w:t>
      </w:r>
      <w:r>
        <w:t>;</w:t>
      </w:r>
    </w:p>
    <w:p>
      <w:pPr>
        <w:pStyle w:val="ListBullet"/>
        <w:spacing w:after="40"/>
      </w:pPr>
      <w:r>
        <w:rPr>
          <w:rFonts w:ascii="Aptos Mono" w:hAnsi="Aptos Mono"/>
          <w:color w:val="0F766E"/>
          <w:sz w:val="18"/>
        </w:rPr>
        <w:t>zero_pii_retention</w:t>
      </w:r>
      <w:r>
        <w:t>; and</w:t>
      </w:r>
    </w:p>
    <w:p>
      <w:pPr>
        <w:pStyle w:val="ListBullet"/>
        <w:spacing w:after="40"/>
      </w:pPr>
      <w:r>
        <w:rPr>
          <w:rFonts w:ascii="Aptos Mono" w:hAnsi="Aptos Mono"/>
          <w:color w:val="0F766E"/>
          <w:sz w:val="18"/>
        </w:rPr>
        <w:t>conversation_retention_days</w:t>
      </w:r>
      <w:r>
        <w:t>.</w:t>
      </w:r>
    </w:p>
    <w:p>
      <w:pPr>
        <w:keepLines w:val="0"/>
      </w:pPr>
      <w:r>
        <w:t>Older API clients remain compatible because these fields are optional at input and server defaults remain available.</w:t>
      </w:r>
    </w:p>
    <w:p>
      <w:pPr>
        <w:pStyle w:val="Heading2"/>
      </w:pPr>
      <w:r>
        <w:t>Changed deletion semantics</w:t>
      </w:r>
    </w:p>
    <w:p>
      <w:pPr>
        <w:keepLines w:val="0"/>
      </w:pPr>
      <w:r>
        <w:t>Agent, call, knowledge-source, and organization deletion may now fail when required external cleanup fails. Clients should display the returned error and permit retry rather than assuming all delete requests are database-only.</w:t>
      </w:r>
    </w:p>
    <w:p>
      <w:pPr>
        <w:pStyle w:val="Heading1"/>
      </w:pPr>
      <w:r>
        <w:t>Data and Schema Impact</w:t>
      </w:r>
    </w:p>
    <w:p>
      <w:pPr>
        <w:keepLines w:val="0"/>
      </w:pPr>
      <w:r>
        <w:t>No database migration is required by this change set. The Prisma schema edits clarify existing fields and relationships; the new behavior uses existing metadata, status, secret, subscription, and storage-path columns.</w:t>
      </w:r>
    </w:p>
    <w:p>
      <w:pPr>
        <w:keepLines w:val="0"/>
      </w:pPr>
      <w:r>
        <w:t>The implementation changes how existing fields are interpreted:</w:t>
      </w:r>
    </w:p>
    <w:p>
      <w:pPr>
        <w:pStyle w:val="ListBullet"/>
        <w:spacing w:after="40"/>
      </w:pPr>
      <w:r>
        <w:rPr>
          <w:rFonts w:ascii="Aptos Mono" w:hAnsi="Aptos Mono"/>
          <w:color w:val="0F766E"/>
          <w:sz w:val="18"/>
        </w:rPr>
        <w:t>KnowledgeSource.metadata</w:t>
      </w:r>
      <w:r>
        <w:t xml:space="preserve"> becomes the KB job state envelope;</w:t>
      </w:r>
    </w:p>
    <w:p>
      <w:pPr>
        <w:pStyle w:val="ListBullet"/>
        <w:spacing w:after="40"/>
      </w:pPr>
      <w:r>
        <w:t>soft-deleted call logs are stripped to minimal tombstones;</w:t>
      </w:r>
    </w:p>
    <w:p>
      <w:pPr>
        <w:pStyle w:val="ListBullet"/>
        <w:spacing w:after="40"/>
      </w:pPr>
      <w:r>
        <w:t>agent configuration privacy fields become actively writable;</w:t>
      </w:r>
    </w:p>
    <w:p>
      <w:pPr>
        <w:pStyle w:val="ListBullet"/>
        <w:spacing w:after="40"/>
      </w:pPr>
      <w:r>
        <w:rPr>
          <w:rFonts w:ascii="Aptos Mono" w:hAnsi="Aptos Mono"/>
          <w:color w:val="0F766E"/>
          <w:sz w:val="18"/>
        </w:rPr>
        <w:t>knowledgeSourcesCount</w:t>
      </w:r>
      <w:r>
        <w:t xml:space="preserve"> is synchronized from active rows; and</w:t>
      </w:r>
    </w:p>
    <w:p>
      <w:pPr>
        <w:pStyle w:val="ListBullet"/>
        <w:spacing w:after="40"/>
      </w:pPr>
      <w:r>
        <w:t xml:space="preserve">campaign status is set to </w:t>
      </w:r>
      <w:r>
        <w:rPr>
          <w:rFonts w:ascii="Aptos Mono" w:hAnsi="Aptos Mono"/>
          <w:color w:val="0F766E"/>
          <w:sz w:val="18"/>
        </w:rPr>
        <w:t>FAILED</w:t>
      </w:r>
      <w:r>
        <w:t xml:space="preserve"> for import failures.</w:t>
      </w:r>
    </w:p>
    <w:p>
      <w:pPr>
        <w:keepLines w:val="0"/>
      </w:pPr>
      <w:r>
        <w:t>Because the metadata format is additive JSON, existing rows without the new fields continue to render with fallback behavior.</w:t>
      </w:r>
    </w:p>
    <w:p>
      <w:pPr>
        <w:pStyle w:val="Heading1"/>
      </w:pPr>
      <w:r>
        <w:t>Configuration and Deployment Requirements</w:t>
      </w:r>
    </w:p>
    <w:p>
      <w:pPr>
        <w:pStyle w:val="Heading2"/>
      </w:pPr>
      <w:r>
        <w:t>Required before rollout</w:t>
      </w:r>
    </w:p>
    <w:p>
      <w:pPr>
        <w:pStyle w:val="ListNumber"/>
        <w:spacing w:after="40"/>
      </w:pPr>
      <w:r>
        <w:t xml:space="preserve">Set </w:t>
      </w:r>
      <w:r>
        <w:rPr>
          <w:rFonts w:ascii="Aptos Mono" w:hAnsi="Aptos Mono"/>
          <w:color w:val="0F766E"/>
          <w:sz w:val="18"/>
        </w:rPr>
        <w:t>SECRET_ENCRYPTION_KEY</w:t>
      </w:r>
      <w:r>
        <w:t xml:space="preserve"> to a dedicated 32-byte value, or to the exact</w:t>
      </w:r>
    </w:p>
    <w:p>
      <w:pPr>
        <w:keepLines w:val="0"/>
      </w:pPr>
      <w:r>
        <w:t>legacy encryption material first when existing ciphertext must remain readable.</w:t>
      </w:r>
    </w:p>
    <w:p>
      <w:pPr>
        <w:pStyle w:val="ListNumber"/>
        <w:spacing w:after="40"/>
      </w:pPr>
      <w:r>
        <w:t xml:space="preserve">Confirm a non-empty, high-entropy </w:t>
      </w:r>
      <w:r>
        <w:rPr>
          <w:rFonts w:ascii="Aptos Mono" w:hAnsi="Aptos Mono"/>
          <w:color w:val="0F766E"/>
          <w:sz w:val="18"/>
        </w:rPr>
        <w:t>INTERNAL_API_KEY</w:t>
      </w:r>
      <w:r>
        <w:t xml:space="preserve"> is shared by the server</w:t>
      </w:r>
    </w:p>
    <w:p>
      <w:pPr>
        <w:keepLines w:val="0"/>
      </w:pPr>
      <w:r>
        <w:t>and AI service.</w:t>
      </w:r>
    </w:p>
    <w:p>
      <w:pPr>
        <w:pStyle w:val="ListNumber"/>
        <w:spacing w:after="40"/>
      </w:pPr>
      <w:r>
        <w:t>Confirm Redis is available to both API queue producers and KB workers.</w:t>
      </w:r>
    </w:p>
    <w:p>
      <w:pPr>
        <w:pStyle w:val="ListNumber"/>
        <w:spacing w:after="40"/>
      </w:pPr>
      <w:r>
        <w:t>Confirm the configured S3 bucket and credentials are correct. There is no</w:t>
      </w:r>
    </w:p>
    <w:p>
      <w:pPr>
        <w:keepLines w:val="0"/>
      </w:pPr>
      <w:r>
        <w:t>recording-bucket fallback.</w:t>
      </w:r>
    </w:p>
    <w:p>
      <w:pPr>
        <w:pStyle w:val="ListNumber"/>
        <w:spacing w:after="40"/>
      </w:pPr>
      <w:r>
        <w:t>Upgrade the deployment runtime to a supported Node version.</w:t>
      </w:r>
    </w:p>
    <w:p>
      <w:pPr>
        <w:pStyle w:val="ListNumber"/>
        <w:spacing w:after="40"/>
      </w:pPr>
      <w:r>
        <w:t>Install with the committed pnpm lockfile and patched dependency.</w:t>
      </w:r>
    </w:p>
    <w:p>
      <w:pPr>
        <w:pStyle w:val="Heading2"/>
      </w:pPr>
      <w:r>
        <w:t>Optional policy configuration</w:t>
      </w:r>
    </w:p>
    <w:p>
      <w:pPr>
        <w:keepLines w:val="0"/>
      </w:pPr>
      <w:r>
        <w:t xml:space="preserve">Set </w:t>
      </w:r>
      <w:r>
        <w:rPr>
          <w:rFonts w:ascii="Aptos Mono" w:hAnsi="Aptos Mono"/>
          <w:color w:val="0F766E"/>
          <w:sz w:val="18"/>
        </w:rPr>
        <w:t>READINESS_REQUIRED_INTEGRATIONS</w:t>
      </w:r>
      <w:r>
        <w:t xml:space="preserve"> for integrations that must block traffic in a particular environment. For example:</w:t>
      </w:r>
    </w:p>
    <w:p>
      <w:pPr>
        <w:keepLines w:val="0"/>
      </w:pPr>
      <w:r>
        <w:rPr>
          <w:rFonts w:ascii="Aptos Mono" w:hAnsi="Aptos Mono"/>
          <w:color w:val="0F766E"/>
          <w:sz w:val="18"/>
        </w:rPr>
        <w:t>livekit,s3,stripe,twilio</w:t>
      </w:r>
    </w:p>
    <w:p>
      <w:pPr>
        <w:keepLines w:val="0"/>
      </w:pPr>
      <w:r>
        <w:t>Set retention and upload variables only when defaults do not match policy. Invalid or excessively large values fall back to bounded defaults.</w:t>
      </w:r>
    </w:p>
    <w:p>
      <w:pPr>
        <w:pStyle w:val="Heading2"/>
      </w:pPr>
      <w:r>
        <w:t>Recommended pre-production checks</w:t>
      </w:r>
    </w:p>
    <w:p>
      <w:pPr>
        <w:pStyle w:val="ListBullet"/>
        <w:spacing w:after="40"/>
      </w:pPr>
      <w:r>
        <w:t>decrypt and update one existing tool secret;</w:t>
      </w:r>
    </w:p>
    <w:p>
      <w:pPr>
        <w:pStyle w:val="ListBullet"/>
        <w:spacing w:after="40"/>
      </w:pPr>
      <w:r>
        <w:t>decrypt and update one existing webhook secret;</w:t>
      </w:r>
    </w:p>
    <w:p>
      <w:pPr>
        <w:pStyle w:val="ListBullet"/>
        <w:spacing w:after="40"/>
      </w:pPr>
      <w:r>
        <w:t>run a KB upload through automatic success;</w:t>
      </w:r>
    </w:p>
    <w:p>
      <w:pPr>
        <w:pStyle w:val="ListBullet"/>
        <w:spacing w:after="40"/>
      </w:pPr>
      <w:r>
        <w:t>force a retryable KB failure and verify automatic retry metadata;</w:t>
      </w:r>
    </w:p>
    <w:p>
      <w:pPr>
        <w:pStyle w:val="ListBullet"/>
        <w:spacing w:after="40"/>
      </w:pPr>
      <w:r>
        <w:t>manually retry an eligible failed KB source;</w:t>
      </w:r>
    </w:p>
    <w:p>
      <w:pPr>
        <w:pStyle w:val="ListBullet"/>
        <w:spacing w:after="40"/>
      </w:pPr>
      <w:r>
        <w:t>delete a test agent with a linked number and KB file;</w:t>
      </w:r>
    </w:p>
    <w:p>
      <w:pPr>
        <w:pStyle w:val="ListBullet"/>
        <w:spacing w:after="40"/>
      </w:pPr>
      <w:r>
        <w:t>delete a test call with a stored recording;</w:t>
      </w:r>
    </w:p>
    <w:p>
      <w:pPr>
        <w:pStyle w:val="ListBullet"/>
        <w:spacing w:after="40"/>
      </w:pPr>
      <w:r>
        <w:t>compare billing usage with raw call duration for one known period;</w:t>
      </w:r>
    </w:p>
    <w:p>
      <w:pPr>
        <w:pStyle w:val="ListBullet"/>
        <w:spacing w:after="40"/>
      </w:pPr>
      <w:r>
        <w:t>upload an oversized or cross-tenant KB/outbound key and confirm rejection;</w:t>
      </w:r>
    </w:p>
    <w:p>
      <w:pPr>
        <w:pStyle w:val="ListBullet"/>
        <w:spacing w:after="40"/>
      </w:pPr>
      <w:r>
        <w:t>exercise organization deletion in a disposable provider account; and</w:t>
      </w:r>
    </w:p>
    <w:p>
      <w:pPr>
        <w:pStyle w:val="ListBullet"/>
        <w:spacing w:after="40"/>
      </w:pPr>
      <w:r>
        <w:t>inspect readiness with optional integrations both configured and absent.</w:t>
      </w:r>
    </w:p>
    <w:p>
      <w:pPr>
        <w:pStyle w:val="Heading1"/>
      </w:pPr>
      <w:r>
        <w:t>Verification Evidence</w:t>
      </w:r>
    </w:p>
    <w:p>
      <w:pPr>
        <w:keepLines w:val="0"/>
      </w:pPr>
      <w:r>
        <w:t>The completed implementation was verified with the following results:</w:t>
      </w:r>
    </w:p>
    <w:tbl>
      <w:tblPr>
        <w:tblStyle w:val="TableGrid"/>
        <w:tblW w:type="auto" w:w="0"/>
        <w:jc w:val="center"/>
        <w:tblLook w:firstColumn="1" w:firstRow="1" w:lastColumn="0" w:lastRow="0" w:noHBand="0" w:noVBand="1" w:val="04A0"/>
      </w:tblPr>
      <w:tblGrid>
        <w:gridCol w:w="5040"/>
        <w:gridCol w:w="5040"/>
      </w:tblGrid>
      <w:tr>
        <w:trPr>
          <w:tblHeader/>
        </w:trPr>
        <w:tc>
          <w:tcPr>
            <w:tcW w:type="dxa" w:w="5040"/>
            <w:vAlign w:val="center"/>
            <w:tcMar>
              <w:top w:w="90" w:type="dxa"/>
              <w:start w:w="110" w:type="dxa"/>
              <w:bottom w:w="90" w:type="dxa"/>
              <w:end w:w="110" w:type="dxa"/>
            </w:tcMar>
            <w:shd w:fill="134E4A"/>
          </w:tcPr>
          <w:p>
            <w:pPr>
              <w:spacing w:after="0"/>
            </w:pPr>
            <w:r>
              <w:rPr>
                <w:b/>
                <w:color w:val="FFFFFF"/>
                <w:sz w:val="17"/>
              </w:rPr>
              <w:t>Verification</w:t>
            </w:r>
          </w:p>
        </w:tc>
        <w:tc>
          <w:tcPr>
            <w:tcW w:type="dxa" w:w="5040"/>
            <w:vAlign w:val="center"/>
            <w:tcMar>
              <w:top w:w="90" w:type="dxa"/>
              <w:start w:w="110" w:type="dxa"/>
              <w:bottom w:w="90" w:type="dxa"/>
              <w:end w:w="110" w:type="dxa"/>
            </w:tcMar>
            <w:shd w:fill="134E4A"/>
          </w:tcPr>
          <w:p>
            <w:pPr>
              <w:spacing w:after="0"/>
            </w:pPr>
            <w:r>
              <w:rPr>
                <w:b/>
                <w:color w:val="FFFFFF"/>
                <w:sz w:val="17"/>
              </w:rPr>
              <w:t>Result</w:t>
            </w:r>
          </w:p>
        </w:tc>
      </w:tr>
      <w:tr>
        <w:tc>
          <w:tcPr>
            <w:tcW w:type="dxa" w:w="5040"/>
            <w:vAlign w:val="center"/>
            <w:tcMar>
              <w:top w:w="90" w:type="dxa"/>
              <w:start w:w="110" w:type="dxa"/>
              <w:bottom w:w="90" w:type="dxa"/>
              <w:end w:w="110" w:type="dxa"/>
            </w:tcMar>
          </w:tcPr>
          <w:p>
            <w:pPr>
              <w:spacing w:after="0"/>
            </w:pPr>
            <w:r>
              <w:rPr>
                <w:sz w:val="17"/>
              </w:rPr>
              <w:t>Server tests</w:t>
            </w:r>
          </w:p>
        </w:tc>
        <w:tc>
          <w:tcPr>
            <w:tcW w:type="dxa" w:w="5040"/>
            <w:vAlign w:val="center"/>
            <w:tcMar>
              <w:top w:w="90" w:type="dxa"/>
              <w:start w:w="110" w:type="dxa"/>
              <w:bottom w:w="90" w:type="dxa"/>
              <w:end w:w="110" w:type="dxa"/>
            </w:tcMar>
          </w:tcPr>
          <w:p>
            <w:pPr>
              <w:spacing w:after="0"/>
            </w:pPr>
            <w:r>
              <w:rPr>
                <w:sz w:val="17"/>
              </w:rPr>
              <w:t>148 passed</w:t>
            </w:r>
          </w:p>
        </w:tc>
      </w:tr>
      <w:tr>
        <w:tc>
          <w:tcPr>
            <w:tcW w:type="dxa" w:w="5040"/>
            <w:vAlign w:val="center"/>
            <w:tcMar>
              <w:top w:w="90" w:type="dxa"/>
              <w:start w:w="110" w:type="dxa"/>
              <w:bottom w:w="90" w:type="dxa"/>
              <w:end w:w="110" w:type="dxa"/>
            </w:tcMar>
            <w:shd w:fill="E6FFFB"/>
          </w:tcPr>
          <w:p>
            <w:pPr>
              <w:spacing w:after="0"/>
            </w:pPr>
            <w:r>
              <w:rPr>
                <w:sz w:val="17"/>
              </w:rPr>
              <w:t>Console source-contract tests</w:t>
            </w:r>
          </w:p>
        </w:tc>
        <w:tc>
          <w:tcPr>
            <w:tcW w:type="dxa" w:w="5040"/>
            <w:vAlign w:val="center"/>
            <w:tcMar>
              <w:top w:w="90" w:type="dxa"/>
              <w:start w:w="110" w:type="dxa"/>
              <w:bottom w:w="90" w:type="dxa"/>
              <w:end w:w="110" w:type="dxa"/>
            </w:tcMar>
            <w:shd w:fill="E6FFFB"/>
          </w:tcPr>
          <w:p>
            <w:pPr>
              <w:spacing w:after="0"/>
            </w:pPr>
            <w:r>
              <w:rPr>
                <w:sz w:val="17"/>
              </w:rPr>
              <w:t>65 passed</w:t>
            </w:r>
          </w:p>
        </w:tc>
      </w:tr>
      <w:tr>
        <w:tc>
          <w:tcPr>
            <w:tcW w:type="dxa" w:w="5040"/>
            <w:vAlign w:val="center"/>
            <w:tcMar>
              <w:top w:w="90" w:type="dxa"/>
              <w:start w:w="110" w:type="dxa"/>
              <w:bottom w:w="90" w:type="dxa"/>
              <w:end w:w="110" w:type="dxa"/>
            </w:tcMar>
          </w:tcPr>
          <w:p>
            <w:pPr>
              <w:spacing w:after="0"/>
            </w:pPr>
            <w:r>
              <w:rPr>
                <w:sz w:val="17"/>
              </w:rPr>
              <w:t>Web tests</w:t>
            </w:r>
          </w:p>
        </w:tc>
        <w:tc>
          <w:tcPr>
            <w:tcW w:type="dxa" w:w="5040"/>
            <w:vAlign w:val="center"/>
            <w:tcMar>
              <w:top w:w="90" w:type="dxa"/>
              <w:start w:w="110" w:type="dxa"/>
              <w:bottom w:w="90" w:type="dxa"/>
              <w:end w:w="110" w:type="dxa"/>
            </w:tcMar>
          </w:tcPr>
          <w:p>
            <w:pPr>
              <w:spacing w:after="0"/>
            </w:pPr>
            <w:r>
              <w:rPr>
                <w:sz w:val="17"/>
              </w:rPr>
              <w:t>13 passed</w:t>
            </w:r>
          </w:p>
        </w:tc>
      </w:tr>
      <w:tr>
        <w:tc>
          <w:tcPr>
            <w:tcW w:type="dxa" w:w="5040"/>
            <w:vAlign w:val="center"/>
            <w:tcMar>
              <w:top w:w="90" w:type="dxa"/>
              <w:start w:w="110" w:type="dxa"/>
              <w:bottom w:w="90" w:type="dxa"/>
              <w:end w:w="110" w:type="dxa"/>
            </w:tcMar>
            <w:shd w:fill="E6FFFB"/>
          </w:tcPr>
          <w:p>
            <w:pPr>
              <w:spacing w:after="0"/>
            </w:pPr>
            <w:r>
              <w:rPr>
                <w:sz w:val="17"/>
              </w:rPr>
              <w:t>Root Node tests</w:t>
            </w:r>
          </w:p>
        </w:tc>
        <w:tc>
          <w:tcPr>
            <w:tcW w:type="dxa" w:w="5040"/>
            <w:vAlign w:val="center"/>
            <w:tcMar>
              <w:top w:w="90" w:type="dxa"/>
              <w:start w:w="110" w:type="dxa"/>
              <w:bottom w:w="90" w:type="dxa"/>
              <w:end w:w="110" w:type="dxa"/>
            </w:tcMar>
            <w:shd w:fill="E6FFFB"/>
          </w:tcPr>
          <w:p>
            <w:pPr>
              <w:spacing w:after="0"/>
            </w:pPr>
            <w:r>
              <w:rPr>
                <w:sz w:val="17"/>
              </w:rPr>
              <w:t>31 passed</w:t>
            </w:r>
          </w:p>
        </w:tc>
      </w:tr>
      <w:tr>
        <w:tc>
          <w:tcPr>
            <w:tcW w:type="dxa" w:w="5040"/>
            <w:vAlign w:val="center"/>
            <w:tcMar>
              <w:top w:w="90" w:type="dxa"/>
              <w:start w:w="110" w:type="dxa"/>
              <w:bottom w:w="90" w:type="dxa"/>
              <w:end w:w="110" w:type="dxa"/>
            </w:tcMar>
          </w:tcPr>
          <w:p>
            <w:pPr>
              <w:spacing w:after="0"/>
            </w:pPr>
            <w:r>
              <w:rPr>
                <w:sz w:val="17"/>
              </w:rPr>
              <w:t>AI Python tests with warnings as errors</w:t>
            </w:r>
          </w:p>
        </w:tc>
        <w:tc>
          <w:tcPr>
            <w:tcW w:type="dxa" w:w="5040"/>
            <w:vAlign w:val="center"/>
            <w:tcMar>
              <w:top w:w="90" w:type="dxa"/>
              <w:start w:w="110" w:type="dxa"/>
              <w:bottom w:w="90" w:type="dxa"/>
              <w:end w:w="110" w:type="dxa"/>
            </w:tcMar>
          </w:tcPr>
          <w:p>
            <w:pPr>
              <w:spacing w:after="0"/>
            </w:pPr>
            <w:r>
              <w:rPr>
                <w:sz w:val="17"/>
              </w:rPr>
              <w:t>137 passed</w:t>
            </w:r>
          </w:p>
        </w:tc>
      </w:tr>
      <w:tr>
        <w:tc>
          <w:tcPr>
            <w:tcW w:type="dxa" w:w="5040"/>
            <w:vAlign w:val="center"/>
            <w:tcMar>
              <w:top w:w="90" w:type="dxa"/>
              <w:start w:w="110" w:type="dxa"/>
              <w:bottom w:w="90" w:type="dxa"/>
              <w:end w:w="110" w:type="dxa"/>
            </w:tcMar>
            <w:shd w:fill="E6FFFB"/>
          </w:tcPr>
          <w:p>
            <w:pPr>
              <w:spacing w:after="0"/>
            </w:pPr>
            <w:r>
              <w:rPr>
                <w:sz w:val="17"/>
              </w:rPr>
              <w:t>Root tracked Python tests</w:t>
            </w:r>
          </w:p>
        </w:tc>
        <w:tc>
          <w:tcPr>
            <w:tcW w:type="dxa" w:w="5040"/>
            <w:vAlign w:val="center"/>
            <w:tcMar>
              <w:top w:w="90" w:type="dxa"/>
              <w:start w:w="110" w:type="dxa"/>
              <w:bottom w:w="90" w:type="dxa"/>
              <w:end w:w="110" w:type="dxa"/>
            </w:tcMar>
            <w:shd w:fill="E6FFFB"/>
          </w:tcPr>
          <w:p>
            <w:pPr>
              <w:spacing w:after="0"/>
            </w:pPr>
            <w:r>
              <w:rPr>
                <w:sz w:val="17"/>
              </w:rPr>
              <w:t>62 passed</w:t>
            </w:r>
          </w:p>
        </w:tc>
      </w:tr>
      <w:tr>
        <w:tc>
          <w:tcPr>
            <w:tcW w:type="dxa" w:w="5040"/>
            <w:vAlign w:val="center"/>
            <w:tcMar>
              <w:top w:w="90" w:type="dxa"/>
              <w:start w:w="110" w:type="dxa"/>
              <w:bottom w:w="90" w:type="dxa"/>
              <w:end w:w="110" w:type="dxa"/>
            </w:tcMar>
          </w:tcPr>
          <w:p>
            <w:pPr>
              <w:spacing w:after="0"/>
            </w:pPr>
            <w:r>
              <w:rPr>
                <w:sz w:val="17"/>
              </w:rPr>
              <w:t>Application and root test total</w:t>
            </w:r>
          </w:p>
        </w:tc>
        <w:tc>
          <w:tcPr>
            <w:tcW w:type="dxa" w:w="5040"/>
            <w:vAlign w:val="center"/>
            <w:tcMar>
              <w:top w:w="90" w:type="dxa"/>
              <w:start w:w="110" w:type="dxa"/>
              <w:bottom w:w="90" w:type="dxa"/>
              <w:end w:w="110" w:type="dxa"/>
            </w:tcMar>
          </w:tcPr>
          <w:p>
            <w:pPr>
              <w:spacing w:after="0"/>
            </w:pPr>
            <w:r>
              <w:rPr>
                <w:sz w:val="17"/>
              </w:rPr>
              <w:t>456 passed</w:t>
            </w:r>
          </w:p>
        </w:tc>
      </w:tr>
      <w:tr>
        <w:tc>
          <w:tcPr>
            <w:tcW w:type="dxa" w:w="5040"/>
            <w:vAlign w:val="center"/>
            <w:tcMar>
              <w:top w:w="90" w:type="dxa"/>
              <w:start w:w="110" w:type="dxa"/>
              <w:bottom w:w="90" w:type="dxa"/>
              <w:end w:w="110" w:type="dxa"/>
            </w:tcMar>
            <w:shd w:fill="E6FFFB"/>
          </w:tcPr>
          <w:p>
            <w:pPr>
              <w:spacing w:after="0"/>
            </w:pPr>
            <w:r>
              <w:rPr>
                <w:sz w:val="17"/>
              </w:rPr>
              <w:t>Shared ESLint/TypeScript config checks</w:t>
            </w:r>
          </w:p>
        </w:tc>
        <w:tc>
          <w:tcPr>
            <w:tcW w:type="dxa" w:w="5040"/>
            <w:vAlign w:val="center"/>
            <w:tcMar>
              <w:top w:w="90" w:type="dxa"/>
              <w:start w:w="110" w:type="dxa"/>
              <w:bottom w:w="90" w:type="dxa"/>
              <w:end w:w="110" w:type="dxa"/>
            </w:tcMar>
            <w:shd w:fill="E6FFFB"/>
          </w:tcPr>
          <w:p>
            <w:pPr>
              <w:spacing w:after="0"/>
            </w:pPr>
            <w:r>
              <w:rPr>
                <w:sz w:val="17"/>
              </w:rPr>
              <w:t>18 passed</w:t>
            </w:r>
          </w:p>
        </w:tc>
      </w:tr>
      <w:tr>
        <w:tc>
          <w:tcPr>
            <w:tcW w:type="dxa" w:w="5040"/>
            <w:vAlign w:val="center"/>
            <w:tcMar>
              <w:top w:w="90" w:type="dxa"/>
              <w:start w:w="110" w:type="dxa"/>
              <w:bottom w:w="90" w:type="dxa"/>
              <w:end w:w="110" w:type="dxa"/>
            </w:tcMar>
          </w:tcPr>
          <w:p>
            <w:pPr>
              <w:spacing w:after="0"/>
            </w:pPr>
            <w:r>
              <w:rPr>
                <w:sz w:val="17"/>
              </w:rPr>
              <w:t>Turbo task graph validation</w:t>
            </w:r>
          </w:p>
        </w:tc>
        <w:tc>
          <w:tcPr>
            <w:tcW w:type="dxa" w:w="5040"/>
            <w:vAlign w:val="center"/>
            <w:tcMar>
              <w:top w:w="90" w:type="dxa"/>
              <w:start w:w="110" w:type="dxa"/>
              <w:bottom w:w="90" w:type="dxa"/>
              <w:end w:w="110" w:type="dxa"/>
            </w:tcMar>
          </w:tcPr>
          <w:p>
            <w:pPr>
              <w:spacing w:after="0"/>
            </w:pPr>
            <w:r>
              <w:rPr>
                <w:sz w:val="17"/>
              </w:rPr>
              <w:t>Passed</w:t>
            </w:r>
          </w:p>
        </w:tc>
      </w:tr>
      <w:tr>
        <w:tc>
          <w:tcPr>
            <w:tcW w:type="dxa" w:w="5040"/>
            <w:vAlign w:val="center"/>
            <w:tcMar>
              <w:top w:w="90" w:type="dxa"/>
              <w:start w:w="110" w:type="dxa"/>
              <w:bottom w:w="90" w:type="dxa"/>
              <w:end w:w="110" w:type="dxa"/>
            </w:tcMar>
            <w:shd w:fill="E6FFFB"/>
          </w:tcPr>
          <w:p>
            <w:pPr>
              <w:spacing w:after="0"/>
            </w:pPr>
            <w:r>
              <w:rPr>
                <w:sz w:val="17"/>
              </w:rPr>
              <w:t>Console, web, and docs type checks</w:t>
            </w:r>
          </w:p>
        </w:tc>
        <w:tc>
          <w:tcPr>
            <w:tcW w:type="dxa" w:w="5040"/>
            <w:vAlign w:val="center"/>
            <w:tcMar>
              <w:top w:w="90" w:type="dxa"/>
              <w:start w:w="110" w:type="dxa"/>
              <w:bottom w:w="90" w:type="dxa"/>
              <w:end w:w="110" w:type="dxa"/>
            </w:tcMar>
            <w:shd w:fill="E6FFFB"/>
          </w:tcPr>
          <w:p>
            <w:pPr>
              <w:spacing w:after="0"/>
            </w:pPr>
            <w:r>
              <w:rPr>
                <w:sz w:val="17"/>
              </w:rPr>
              <w:t>Passed</w:t>
            </w:r>
          </w:p>
        </w:tc>
      </w:tr>
      <w:tr>
        <w:tc>
          <w:tcPr>
            <w:tcW w:type="dxa" w:w="5040"/>
            <w:vAlign w:val="center"/>
            <w:tcMar>
              <w:top w:w="90" w:type="dxa"/>
              <w:start w:w="110" w:type="dxa"/>
              <w:bottom w:w="90" w:type="dxa"/>
              <w:end w:w="110" w:type="dxa"/>
            </w:tcMar>
          </w:tcPr>
          <w:p>
            <w:pPr>
              <w:spacing w:after="0"/>
            </w:pPr>
            <w:r>
              <w:rPr>
                <w:sz w:val="17"/>
              </w:rPr>
              <w:t>Console, web, and docs lint</w:t>
            </w:r>
          </w:p>
        </w:tc>
        <w:tc>
          <w:tcPr>
            <w:tcW w:type="dxa" w:w="5040"/>
            <w:vAlign w:val="center"/>
            <w:tcMar>
              <w:top w:w="90" w:type="dxa"/>
              <w:start w:w="110" w:type="dxa"/>
              <w:bottom w:w="90" w:type="dxa"/>
              <w:end w:w="110" w:type="dxa"/>
            </w:tcMar>
          </w:tcPr>
          <w:p>
            <w:pPr>
              <w:spacing w:after="0"/>
            </w:pPr>
            <w:r>
              <w:rPr>
                <w:sz w:val="17"/>
              </w:rPr>
              <w:t>Passed</w:t>
            </w:r>
          </w:p>
        </w:tc>
      </w:tr>
      <w:tr>
        <w:tc>
          <w:tcPr>
            <w:tcW w:type="dxa" w:w="5040"/>
            <w:vAlign w:val="center"/>
            <w:tcMar>
              <w:top w:w="90" w:type="dxa"/>
              <w:start w:w="110" w:type="dxa"/>
              <w:bottom w:w="90" w:type="dxa"/>
              <w:end w:w="110" w:type="dxa"/>
            </w:tcMar>
            <w:shd w:fill="E6FFFB"/>
          </w:tcPr>
          <w:p>
            <w:pPr>
              <w:spacing w:after="0"/>
            </w:pPr>
            <w:r>
              <w:rPr>
                <w:sz w:val="17"/>
              </w:rPr>
              <w:t>Server type check and build</w:t>
            </w:r>
          </w:p>
        </w:tc>
        <w:tc>
          <w:tcPr>
            <w:tcW w:type="dxa" w:w="5040"/>
            <w:vAlign w:val="center"/>
            <w:tcMar>
              <w:top w:w="90" w:type="dxa"/>
              <w:start w:w="110" w:type="dxa"/>
              <w:bottom w:w="90" w:type="dxa"/>
              <w:end w:w="110" w:type="dxa"/>
            </w:tcMar>
            <w:shd w:fill="E6FFFB"/>
          </w:tcPr>
          <w:p>
            <w:pPr>
              <w:spacing w:after="0"/>
            </w:pPr>
            <w:r>
              <w:rPr>
                <w:sz w:val="17"/>
              </w:rPr>
              <w:t>Passed after local generated-type alignment</w:t>
            </w:r>
          </w:p>
        </w:tc>
      </w:tr>
      <w:tr>
        <w:tc>
          <w:tcPr>
            <w:tcW w:type="dxa" w:w="5040"/>
            <w:vAlign w:val="center"/>
            <w:tcMar>
              <w:top w:w="90" w:type="dxa"/>
              <w:start w:w="110" w:type="dxa"/>
              <w:bottom w:w="90" w:type="dxa"/>
              <w:end w:w="110" w:type="dxa"/>
            </w:tcMar>
          </w:tcPr>
          <w:p>
            <w:pPr>
              <w:spacing w:after="0"/>
            </w:pPr>
            <w:r>
              <w:rPr>
                <w:sz w:val="17"/>
              </w:rPr>
              <w:t>Docs MCP reference generation</w:t>
            </w:r>
          </w:p>
        </w:tc>
        <w:tc>
          <w:tcPr>
            <w:tcW w:type="dxa" w:w="5040"/>
            <w:vAlign w:val="center"/>
            <w:tcMar>
              <w:top w:w="90" w:type="dxa"/>
              <w:start w:w="110" w:type="dxa"/>
              <w:bottom w:w="90" w:type="dxa"/>
              <w:end w:w="110" w:type="dxa"/>
            </w:tcMar>
          </w:tcPr>
          <w:p>
            <w:pPr>
              <w:spacing w:after="0"/>
            </w:pPr>
            <w:r>
              <w:rPr>
                <w:sz w:val="17"/>
              </w:rPr>
              <w:t>Passed; 36 tools, 26 resources, 9 exclusions</w:t>
            </w:r>
          </w:p>
        </w:tc>
      </w:tr>
      <w:tr>
        <w:tc>
          <w:tcPr>
            <w:tcW w:type="dxa" w:w="5040"/>
            <w:vAlign w:val="center"/>
            <w:tcMar>
              <w:top w:w="90" w:type="dxa"/>
              <w:start w:w="110" w:type="dxa"/>
              <w:bottom w:w="90" w:type="dxa"/>
              <w:end w:w="110" w:type="dxa"/>
            </w:tcMar>
            <w:shd w:fill="E6FFFB"/>
          </w:tcPr>
          <w:p>
            <w:pPr>
              <w:spacing w:after="0"/>
            </w:pPr>
            <w:r>
              <w:rPr>
                <w:sz w:val="17"/>
              </w:rPr>
              <w:t>Frozen pnpm lockfile install</w:t>
            </w:r>
          </w:p>
        </w:tc>
        <w:tc>
          <w:tcPr>
            <w:tcW w:type="dxa" w:w="5040"/>
            <w:vAlign w:val="center"/>
            <w:tcMar>
              <w:top w:w="90" w:type="dxa"/>
              <w:start w:w="110" w:type="dxa"/>
              <w:bottom w:w="90" w:type="dxa"/>
              <w:end w:w="110" w:type="dxa"/>
            </w:tcMar>
            <w:shd w:fill="E6FFFB"/>
          </w:tcPr>
          <w:p>
            <w:pPr>
              <w:spacing w:after="0"/>
            </w:pPr>
            <w:r>
              <w:rPr>
                <w:sz w:val="17"/>
              </w:rPr>
              <w:t>Passed</w:t>
            </w:r>
          </w:p>
        </w:tc>
      </w:tr>
      <w:tr>
        <w:tc>
          <w:tcPr>
            <w:tcW w:type="dxa" w:w="5040"/>
            <w:vAlign w:val="center"/>
            <w:tcMar>
              <w:top w:w="90" w:type="dxa"/>
              <w:start w:w="110" w:type="dxa"/>
              <w:bottom w:w="90" w:type="dxa"/>
              <w:end w:w="110" w:type="dxa"/>
            </w:tcMar>
          </w:tcPr>
          <w:p>
            <w:pPr>
              <w:spacing w:after="0"/>
            </w:pPr>
            <w:r>
              <w:rPr>
                <w:sz w:val="17"/>
              </w:rPr>
              <w:t>Node dependency audit at low severity</w:t>
            </w:r>
          </w:p>
        </w:tc>
        <w:tc>
          <w:tcPr>
            <w:tcW w:type="dxa" w:w="5040"/>
            <w:vAlign w:val="center"/>
            <w:tcMar>
              <w:top w:w="90" w:type="dxa"/>
              <w:start w:w="110" w:type="dxa"/>
              <w:bottom w:w="90" w:type="dxa"/>
              <w:end w:w="110" w:type="dxa"/>
            </w:tcMar>
          </w:tcPr>
          <w:p>
            <w:pPr>
              <w:spacing w:after="0"/>
            </w:pPr>
            <w:r>
              <w:rPr>
                <w:sz w:val="17"/>
              </w:rPr>
              <w:t>0 advisories, 0 suppressions</w:t>
            </w:r>
          </w:p>
        </w:tc>
      </w:tr>
      <w:tr>
        <w:tc>
          <w:tcPr>
            <w:tcW w:type="dxa" w:w="5040"/>
            <w:vAlign w:val="center"/>
            <w:tcMar>
              <w:top w:w="90" w:type="dxa"/>
              <w:start w:w="110" w:type="dxa"/>
              <w:bottom w:w="90" w:type="dxa"/>
              <w:end w:w="110" w:type="dxa"/>
            </w:tcMar>
            <w:shd w:fill="E6FFFB"/>
          </w:tcPr>
          <w:p>
            <w:pPr>
              <w:spacing w:after="0"/>
            </w:pPr>
            <w:r>
              <w:rPr>
                <w:sz w:val="17"/>
              </w:rPr>
              <w:t>Python dependency audit</w:t>
            </w:r>
          </w:p>
        </w:tc>
        <w:tc>
          <w:tcPr>
            <w:tcW w:type="dxa" w:w="5040"/>
            <w:vAlign w:val="center"/>
            <w:tcMar>
              <w:top w:w="90" w:type="dxa"/>
              <w:start w:w="110" w:type="dxa"/>
              <w:bottom w:w="90" w:type="dxa"/>
              <w:end w:w="110" w:type="dxa"/>
            </w:tcMar>
            <w:shd w:fill="E6FFFB"/>
          </w:tcPr>
          <w:p>
            <w:pPr>
              <w:spacing w:after="0"/>
            </w:pPr>
            <w:r>
              <w:rPr>
                <w:sz w:val="17"/>
              </w:rPr>
              <w:t>No known vulnerabilities</w:t>
            </w:r>
          </w:p>
        </w:tc>
      </w:tr>
      <w:tr>
        <w:tc>
          <w:tcPr>
            <w:tcW w:type="dxa" w:w="5040"/>
            <w:vAlign w:val="center"/>
            <w:tcMar>
              <w:top w:w="90" w:type="dxa"/>
              <w:start w:w="110" w:type="dxa"/>
              <w:bottom w:w="90" w:type="dxa"/>
              <w:end w:w="110" w:type="dxa"/>
            </w:tcMar>
          </w:tcPr>
          <w:p>
            <w:pPr>
              <w:spacing w:after="0"/>
            </w:pPr>
            <w:r>
              <w:rPr>
                <w:sz w:val="17"/>
              </w:rPr>
              <w:t>Open-source launch claims audit</w:t>
            </w:r>
          </w:p>
        </w:tc>
        <w:tc>
          <w:tcPr>
            <w:tcW w:type="dxa" w:w="5040"/>
            <w:vAlign w:val="center"/>
            <w:tcMar>
              <w:top w:w="90" w:type="dxa"/>
              <w:start w:w="110" w:type="dxa"/>
              <w:bottom w:w="90" w:type="dxa"/>
              <w:end w:w="110" w:type="dxa"/>
            </w:tcMar>
          </w:tcPr>
          <w:p>
            <w:pPr>
              <w:spacing w:after="0"/>
            </w:pPr>
            <w:r>
              <w:rPr>
                <w:sz w:val="17"/>
              </w:rPr>
              <w:t>Passed; 3 files scanned</w:t>
            </w:r>
          </w:p>
        </w:tc>
      </w:tr>
      <w:tr>
        <w:tc>
          <w:tcPr>
            <w:tcW w:type="dxa" w:w="5040"/>
            <w:vAlign w:val="center"/>
            <w:tcMar>
              <w:top w:w="90" w:type="dxa"/>
              <w:start w:w="110" w:type="dxa"/>
              <w:bottom w:w="90" w:type="dxa"/>
              <w:end w:w="110" w:type="dxa"/>
            </w:tcMar>
            <w:shd w:fill="E6FFFB"/>
          </w:tcPr>
          <w:p>
            <w:pPr>
              <w:spacing w:after="0"/>
            </w:pPr>
            <w:r>
              <w:rPr>
                <w:sz w:val="17"/>
              </w:rPr>
              <w:t>Repository-wide public claims audit</w:t>
            </w:r>
          </w:p>
        </w:tc>
        <w:tc>
          <w:tcPr>
            <w:tcW w:type="dxa" w:w="5040"/>
            <w:vAlign w:val="center"/>
            <w:tcMar>
              <w:top w:w="90" w:type="dxa"/>
              <w:start w:w="110" w:type="dxa"/>
              <w:bottom w:w="90" w:type="dxa"/>
              <w:end w:w="110" w:type="dxa"/>
            </w:tcMar>
            <w:shd w:fill="E6FFFB"/>
          </w:tcPr>
          <w:p>
            <w:pPr>
              <w:spacing w:after="0"/>
            </w:pPr>
            <w:r>
              <w:rPr>
                <w:sz w:val="17"/>
              </w:rPr>
              <w:t>Blocked; 632 findings across 407 files</w:t>
            </w:r>
          </w:p>
        </w:tc>
      </w:tr>
      <w:tr>
        <w:tc>
          <w:tcPr>
            <w:tcW w:type="dxa" w:w="5040"/>
            <w:vAlign w:val="center"/>
            <w:tcMar>
              <w:top w:w="90" w:type="dxa"/>
              <w:start w:w="110" w:type="dxa"/>
              <w:bottom w:w="90" w:type="dxa"/>
              <w:end w:w="110" w:type="dxa"/>
            </w:tcMar>
          </w:tcPr>
          <w:p>
            <w:pPr>
              <w:spacing w:after="0"/>
            </w:pPr>
            <w:r>
              <w:rPr>
                <w:sz w:val="17"/>
              </w:rPr>
              <w:t>Git whitespace/error check</w:t>
            </w:r>
          </w:p>
        </w:tc>
        <w:tc>
          <w:tcPr>
            <w:tcW w:type="dxa" w:w="5040"/>
            <w:vAlign w:val="center"/>
            <w:tcMar>
              <w:top w:w="90" w:type="dxa"/>
              <w:start w:w="110" w:type="dxa"/>
              <w:bottom w:w="90" w:type="dxa"/>
              <w:end w:w="110" w:type="dxa"/>
            </w:tcMar>
          </w:tcPr>
          <w:p>
            <w:pPr>
              <w:spacing w:after="0"/>
            </w:pPr>
            <w:r>
              <w:rPr>
                <w:sz w:val="17"/>
              </w:rPr>
              <w:t>Passed</w:t>
            </w:r>
          </w:p>
        </w:tc>
      </w:tr>
    </w:tbl>
    <w:p/>
    <w:p>
      <w:pPr>
        <w:pStyle w:val="Heading2"/>
      </w:pPr>
      <w:r>
        <w:t>Environment-limited checks</w:t>
      </w:r>
    </w:p>
    <w:p>
      <w:pPr>
        <w:keepLines w:val="0"/>
      </w:pPr>
      <w:r>
        <w:t xml:space="preserve">The console, public-site, and docs Next.js production builds could not complete in the current host because the Node/V8 runtime failed a native permission allocation with </w:t>
      </w:r>
      <w:r>
        <w:rPr>
          <w:rFonts w:ascii="Aptos Mono" w:hAnsi="Aptos Mono"/>
          <w:color w:val="0F766E"/>
          <w:sz w:val="18"/>
        </w:rPr>
        <w:t>errno 12</w:t>
      </w:r>
      <w:r>
        <w:t xml:space="preserve">. Running Node with </w:t>
      </w:r>
      <w:r>
        <w:rPr>
          <w:rFonts w:ascii="Aptos Mono" w:hAnsi="Aptos Mono"/>
          <w:color w:val="0F766E"/>
          <w:sz w:val="18"/>
        </w:rPr>
        <w:t>--jitless</w:t>
      </w:r>
      <w:r>
        <w:t xml:space="preserve"> avoids that native allocation but disables WebAssembly, which Next.js requires.</w:t>
      </w:r>
    </w:p>
    <w:p>
      <w:pPr>
        <w:keepLines w:val="0"/>
      </w:pPr>
      <w:r>
        <w:t xml:space="preserve">Prisma client generation is blocked by the same executable-memory restriction: normal Node fails during V8 startup, while </w:t>
      </w:r>
      <w:r>
        <w:rPr>
          <w:rFonts w:ascii="Aptos Mono" w:hAnsi="Aptos Mono"/>
          <w:color w:val="0F766E"/>
          <w:sz w:val="18"/>
        </w:rPr>
        <w:t>--jitless</w:t>
      </w:r>
      <w:r>
        <w:t xml:space="preserve"> disables the WebAssembly engine used by Prisma. The locally installed, ignored generated client predates the current schema and does not expose the existing </w:t>
      </w:r>
      <w:r>
        <w:rPr>
          <w:rFonts w:ascii="Aptos Mono" w:hAnsi="Aptos Mono"/>
          <w:color w:val="0F766E"/>
          <w:sz w:val="18"/>
        </w:rPr>
        <w:t>KnowledgeSource</w:t>
      </w:r>
      <w:r>
        <w:t xml:space="preserve"> diagnostic fields. To isolate generated-artifact drift from source errors, the ignored declaration was temporarily aligned with the schema; server type checking and compilation then passed, and the temporary change was removed. GitHub CI regenerates the client before validation and remains the authoritative check.</w:t>
      </w:r>
    </w:p>
    <w:p>
      <w:pPr>
        <w:keepLines w:val="0"/>
      </w:pPr>
      <w:r>
        <w:t>These failures were not TypeScript, lint, unit-test, dependency-audit, or application-code failures. They remain checks that should run in GitHub Actions or another normal build host before merge.</w:t>
      </w:r>
    </w:p>
    <w:p>
      <w:pPr>
        <w:keepLines w:val="0"/>
      </w:pPr>
      <w:r>
        <w:t>No live telephony purchase, provider call, Stripe mutation, production S3 deletion, or production organization deletion was executed. Those operations require controlled credentials and disposable test resources.</w:t>
      </w:r>
    </w:p>
    <w:p>
      <w:pPr>
        <w:pStyle w:val="Heading1"/>
      </w:pPr>
      <w:r>
        <w:t>Risk Assessment</w:t>
      </w:r>
    </w:p>
    <w:p>
      <w:pPr>
        <w:pStyle w:val="Heading2"/>
      </w:pPr>
      <w:r>
        <w:t>High-review areas</w:t>
      </w:r>
    </w:p>
    <w:p>
      <w:pPr>
        <w:pStyle w:val="ListNumber"/>
        <w:spacing w:after="40"/>
      </w:pPr>
      <w:r>
        <w:rPr>
          <w:b/>
        </w:rPr>
        <w:t>Relicensing:</w:t>
      </w:r>
      <w:r>
        <w:t xml:space="preserve"> confirm copyright authority and business intent.</w:t>
      </w:r>
    </w:p>
    <w:p>
      <w:pPr>
        <w:pStyle w:val="ListNumber"/>
        <w:spacing w:after="40"/>
      </w:pPr>
      <w:r>
        <w:rPr>
          <w:b/>
        </w:rPr>
        <w:t>Encryption migration:</w:t>
      </w:r>
      <w:r>
        <w:t xml:space="preserve"> confirm existing ciphertext can be decrypted with</w:t>
      </w:r>
    </w:p>
    <w:p>
      <w:pPr>
        <w:keepLines w:val="0"/>
      </w:pPr>
      <w:r>
        <w:t xml:space="preserve">the configured </w:t>
      </w:r>
      <w:r>
        <w:rPr>
          <w:rFonts w:ascii="Aptos Mono" w:hAnsi="Aptos Mono"/>
          <w:color w:val="0F766E"/>
          <w:sz w:val="18"/>
        </w:rPr>
        <w:t>SECRET_ENCRYPTION_KEY</w:t>
      </w:r>
      <w:r>
        <w:t>.</w:t>
      </w:r>
    </w:p>
    <w:p>
      <w:pPr>
        <w:pStyle w:val="ListNumber"/>
        <w:spacing w:after="40"/>
      </w:pPr>
      <w:r>
        <w:rPr>
          <w:b/>
        </w:rPr>
        <w:t>External cleanup ordering:</w:t>
      </w:r>
      <w:r>
        <w:t xml:space="preserve"> validate provider failure and retry behavior</w:t>
      </w:r>
    </w:p>
    <w:p>
      <w:pPr>
        <w:keepLines w:val="0"/>
      </w:pPr>
      <w:r>
        <w:t>for agent and organization deletion.</w:t>
      </w:r>
    </w:p>
    <w:p>
      <w:pPr>
        <w:pStyle w:val="ListNumber"/>
        <w:spacing w:after="40"/>
      </w:pPr>
      <w:r>
        <w:rPr>
          <w:b/>
        </w:rPr>
        <w:t>Dependency override and minimatch patch:</w:t>
      </w:r>
      <w:r>
        <w:t xml:space="preserve"> verify all build and test tools</w:t>
      </w:r>
    </w:p>
    <w:p>
      <w:pPr>
        <w:keepLines w:val="0"/>
      </w:pPr>
      <w:r>
        <w:t>under CI's Node version.</w:t>
      </w:r>
    </w:p>
    <w:p>
      <w:pPr>
        <w:pStyle w:val="ListNumber"/>
        <w:spacing w:after="40"/>
      </w:pPr>
      <w:r>
        <w:rPr>
          <w:b/>
        </w:rPr>
        <w:t>KB job state:</w:t>
      </w:r>
      <w:r>
        <w:t xml:space="preserve"> validate BullMQ failure-event attempt semantics against the</w:t>
      </w:r>
    </w:p>
    <w:p>
      <w:pPr>
        <w:keepLines w:val="0"/>
      </w:pPr>
      <w:r>
        <w:t>deployed Redis/BullMQ version.</w:t>
      </w:r>
    </w:p>
    <w:p>
      <w:pPr>
        <w:pStyle w:val="Heading2"/>
      </w:pPr>
      <w:r>
        <w:t>Moderate-review areas</w:t>
      </w:r>
    </w:p>
    <w:p>
      <w:pPr>
        <w:pStyle w:val="ListBullet"/>
        <w:spacing w:after="40"/>
      </w:pPr>
      <w:r>
        <w:t>Stripe meter-event idempotency and billing-period selection;</w:t>
      </w:r>
    </w:p>
    <w:p>
      <w:pPr>
        <w:pStyle w:val="ListBullet"/>
        <w:spacing w:after="40"/>
      </w:pPr>
      <w:r>
        <w:t>call-log duplicate delivery and tombstone behavior;</w:t>
      </w:r>
    </w:p>
    <w:p>
      <w:pPr>
        <w:pStyle w:val="ListBullet"/>
        <w:spacing w:after="40"/>
      </w:pPr>
      <w:r>
        <w:t>per-agent retention policy interpretation;</w:t>
      </w:r>
    </w:p>
    <w:p>
      <w:pPr>
        <w:pStyle w:val="ListBullet"/>
        <w:spacing w:after="40"/>
      </w:pPr>
      <w:r>
        <w:t>upload content-length behavior with the deployed S3-compatible provider;</w:t>
      </w:r>
    </w:p>
    <w:p>
      <w:pPr>
        <w:pStyle w:val="ListBullet"/>
        <w:spacing w:after="40"/>
      </w:pPr>
      <w:r>
        <w:t>outbound campaign failure state and retry expectations; and</w:t>
      </w:r>
    </w:p>
    <w:p>
      <w:pPr>
        <w:pStyle w:val="ListBullet"/>
        <w:spacing w:after="40"/>
      </w:pPr>
      <w:r>
        <w:t>OpenAPI compatibility for external clients that call upload URL endpoints.</w:t>
      </w:r>
    </w:p>
    <w:p>
      <w:pPr>
        <w:pStyle w:val="Heading2"/>
      </w:pPr>
      <w:r>
        <w:t>Lower-risk changes</w:t>
      </w:r>
    </w:p>
    <w:p>
      <w:pPr>
        <w:pStyle w:val="ListBullet"/>
        <w:spacing w:after="40"/>
      </w:pPr>
      <w:r>
        <w:t>license-copy consistency;</w:t>
      </w:r>
    </w:p>
    <w:p>
      <w:pPr>
        <w:pStyle w:val="ListBullet"/>
        <w:spacing w:after="40"/>
      </w:pPr>
      <w:r>
        <w:t>local port correction;</w:t>
      </w:r>
    </w:p>
    <w:p>
      <w:pPr>
        <w:pStyle w:val="ListBullet"/>
        <w:spacing w:after="40"/>
      </w:pPr>
      <w:r>
        <w:t>removal of successful image-load logging;</w:t>
      </w:r>
    </w:p>
    <w:p>
      <w:pPr>
        <w:pStyle w:val="ListBullet"/>
        <w:spacing w:after="40"/>
      </w:pPr>
      <w:r>
        <w:t>package metadata alignment;</w:t>
      </w:r>
    </w:p>
    <w:p>
      <w:pPr>
        <w:pStyle w:val="ListBullet"/>
        <w:spacing w:after="40"/>
      </w:pPr>
      <w:r>
        <w:t>audit-document snapshot labels; and</w:t>
      </w:r>
    </w:p>
    <w:p>
      <w:pPr>
        <w:pStyle w:val="ListBullet"/>
        <w:spacing w:after="40"/>
      </w:pPr>
      <w:r>
        <w:t>formatting-only portions of generated OpenAPI and UI files.</w:t>
      </w:r>
    </w:p>
    <w:p>
      <w:pPr>
        <w:pStyle w:val="Heading1"/>
      </w:pPr>
      <w:r>
        <w:t>Rollback Considerations</w:t>
      </w:r>
    </w:p>
    <w:p>
      <w:pPr>
        <w:keepLines w:val="0"/>
      </w:pPr>
      <w:r>
        <w:t>A code rollback is straightforward for most application logic, but data and external side effects are not automatically reversible:</w:t>
      </w:r>
    </w:p>
    <w:p>
      <w:pPr>
        <w:pStyle w:val="ListBullet"/>
        <w:spacing w:after="40"/>
      </w:pPr>
      <w:r>
        <w:t>deleted S3 objects, vectors, phone numbers, recordings, and Stripe customers</w:t>
      </w:r>
    </w:p>
    <w:p>
      <w:pPr>
        <w:keepLines w:val="0"/>
      </w:pPr>
      <w:r>
        <w:t>cannot be restored by reverting Git;</w:t>
      </w:r>
    </w:p>
    <w:p>
      <w:pPr>
        <w:pStyle w:val="ListBullet"/>
        <w:spacing w:after="40"/>
      </w:pPr>
      <w:r>
        <w:t>call tombstone PII removal is intentionally irreversible;</w:t>
      </w:r>
    </w:p>
    <w:p>
      <w:pPr>
        <w:pStyle w:val="ListBullet"/>
        <w:spacing w:after="40"/>
      </w:pPr>
      <w:r>
        <w:t>secret rows pruned after successful replacement are not recreated by a code</w:t>
      </w:r>
    </w:p>
    <w:p>
      <w:pPr>
        <w:keepLines w:val="0"/>
      </w:pPr>
      <w:r>
        <w:t>rollback;</w:t>
      </w:r>
    </w:p>
    <w:p>
      <w:pPr>
        <w:pStyle w:val="ListBullet"/>
        <w:spacing w:after="40"/>
      </w:pPr>
      <w:r>
        <w:t>usage events already accepted by Stripe remain recorded; and</w:t>
      </w:r>
    </w:p>
    <w:p>
      <w:pPr>
        <w:pStyle w:val="ListBullet"/>
        <w:spacing w:after="40"/>
      </w:pPr>
      <w:r>
        <w:t>licensing statements already published or distributed may have legal effect</w:t>
      </w:r>
    </w:p>
    <w:p>
      <w:pPr>
        <w:keepLines w:val="0"/>
      </w:pPr>
      <w:r>
        <w:t>beyond a repository revert.</w:t>
      </w:r>
    </w:p>
    <w:p>
      <w:pPr>
        <w:keepLines w:val="0"/>
      </w:pPr>
      <w:r>
        <w:t>For this reason, rollout should start in a staging environment with disposable provider resources. Production release should include backups, provider audit logs, and a tested method to disable destructive UI actions if an unexpected cleanup issue is discovered.</w:t>
      </w:r>
    </w:p>
    <w:p>
      <w:pPr>
        <w:pStyle w:val="Heading1"/>
      </w:pPr>
      <w:r>
        <w:t>Suggested Reviewer Order</w:t>
      </w:r>
    </w:p>
    <w:p>
      <w:pPr>
        <w:pStyle w:val="ListNumber"/>
        <w:spacing w:after="40"/>
      </w:pPr>
      <w:r>
        <w:t xml:space="preserve">Review </w:t>
      </w:r>
      <w:r>
        <w:rPr>
          <w:rFonts w:ascii="Aptos Mono" w:hAnsi="Aptos Mono"/>
          <w:color w:val="0F766E"/>
          <w:sz w:val="18"/>
        </w:rPr>
        <w:t>LICENSE</w:t>
      </w:r>
      <w:r>
        <w:t>, package metadata, and public/legal copy.</w:t>
      </w:r>
    </w:p>
    <w:p>
      <w:pPr>
        <w:pStyle w:val="ListNumber"/>
        <w:spacing w:after="40"/>
      </w:pPr>
      <w:r>
        <w:t xml:space="preserve">Review </w:t>
      </w:r>
      <w:r>
        <w:rPr>
          <w:rFonts w:ascii="Aptos Mono" w:hAnsi="Aptos Mono"/>
          <w:color w:val="0F766E"/>
          <w:sz w:val="18"/>
        </w:rPr>
        <w:t>apps/server/src/lib/secrets.ts</w:t>
      </w:r>
      <w:r>
        <w:t xml:space="preserve"> and</w:t>
      </w:r>
    </w:p>
    <w:p>
      <w:pPr>
        <w:keepLines w:val="0"/>
      </w:pPr>
      <w:r>
        <w:rPr>
          <w:rFonts w:ascii="Aptos Mono" w:hAnsi="Aptos Mono"/>
          <w:color w:val="0F766E"/>
          <w:sz w:val="18"/>
        </w:rPr>
        <w:t>secret-store.service.ts</w:t>
      </w:r>
      <w:r>
        <w:t>, including migration assumptions.</w:t>
      </w:r>
    </w:p>
    <w:p>
      <w:pPr>
        <w:pStyle w:val="ListNumber"/>
        <w:spacing w:after="40"/>
      </w:pPr>
      <w:r>
        <w:t>Review tenant-scoped repositories and destructive services for agents,</w:t>
      </w:r>
    </w:p>
    <w:p>
      <w:pPr>
        <w:keepLines w:val="0"/>
      </w:pPr>
      <w:r>
        <w:t>calls, KB, tools, retention, and organizations.</w:t>
      </w:r>
    </w:p>
    <w:p>
      <w:pPr>
        <w:pStyle w:val="ListNumber"/>
        <w:spacing w:after="40"/>
      </w:pPr>
      <w:r>
        <w:t>Review KB queue, metadata, retry, upload, and worker behavior.</w:t>
      </w:r>
    </w:p>
    <w:p>
      <w:pPr>
        <w:pStyle w:val="ListNumber"/>
        <w:spacing w:after="40"/>
      </w:pPr>
      <w:r>
        <w:t>Review billing usage and Stripe meter-event idempotency.</w:t>
      </w:r>
    </w:p>
    <w:p>
      <w:pPr>
        <w:pStyle w:val="ListNumber"/>
        <w:spacing w:after="40"/>
      </w:pPr>
      <w:r>
        <w:t>Review console API contracts and user workflows.</w:t>
      </w:r>
    </w:p>
    <w:p>
      <w:pPr>
        <w:pStyle w:val="ListNumber"/>
        <w:spacing w:after="40"/>
      </w:pPr>
      <w:r>
        <w:t>Review dependency overrides, the minimatch patch, lockfile, and CI.</w:t>
      </w:r>
    </w:p>
    <w:p>
      <w:pPr>
        <w:pStyle w:val="ListNumber"/>
        <w:spacing w:after="40"/>
      </w:pPr>
      <w:r>
        <w:t>Review OpenAPI and tests, then run the complete CI matrix.</w:t>
      </w:r>
    </w:p>
    <w:p>
      <w:pPr>
        <w:pStyle w:val="Heading1"/>
      </w:pPr>
      <w:r>
        <w:t>Representative File Map</w:t>
      </w:r>
    </w:p>
    <w:tbl>
      <w:tblPr>
        <w:tblStyle w:val="TableGrid"/>
        <w:tblW w:type="auto" w:w="0"/>
        <w:jc w:val="center"/>
        <w:tblLook w:firstColumn="1" w:firstRow="1" w:lastColumn="0" w:lastRow="0" w:noHBand="0" w:noVBand="1" w:val="04A0"/>
      </w:tblPr>
      <w:tblGrid>
        <w:gridCol w:w="5040"/>
        <w:gridCol w:w="5040"/>
      </w:tblGrid>
      <w:tr>
        <w:trPr>
          <w:tblHeader/>
        </w:trPr>
        <w:tc>
          <w:tcPr>
            <w:tcW w:type="dxa" w:w="5040"/>
            <w:vAlign w:val="center"/>
            <w:tcMar>
              <w:top w:w="90" w:type="dxa"/>
              <w:start w:w="110" w:type="dxa"/>
              <w:bottom w:w="90" w:type="dxa"/>
              <w:end w:w="110" w:type="dxa"/>
            </w:tcMar>
            <w:shd w:fill="134E4A"/>
          </w:tcPr>
          <w:p>
            <w:pPr>
              <w:spacing w:after="0"/>
            </w:pPr>
            <w:r>
              <w:rPr>
                <w:b/>
                <w:color w:val="FFFFFF"/>
                <w:sz w:val="17"/>
              </w:rPr>
              <w:t>Area</w:t>
            </w:r>
          </w:p>
        </w:tc>
        <w:tc>
          <w:tcPr>
            <w:tcW w:type="dxa" w:w="5040"/>
            <w:vAlign w:val="center"/>
            <w:tcMar>
              <w:top w:w="90" w:type="dxa"/>
              <w:start w:w="110" w:type="dxa"/>
              <w:bottom w:w="90" w:type="dxa"/>
              <w:end w:w="110" w:type="dxa"/>
            </w:tcMar>
            <w:shd w:fill="134E4A"/>
          </w:tcPr>
          <w:p>
            <w:pPr>
              <w:spacing w:after="0"/>
            </w:pPr>
            <w:r>
              <w:rPr>
                <w:b/>
                <w:color w:val="FFFFFF"/>
                <w:sz w:val="17"/>
              </w:rPr>
              <w:t>Representative files</w:t>
            </w:r>
          </w:p>
        </w:tc>
      </w:tr>
      <w:tr>
        <w:tc>
          <w:tcPr>
            <w:tcW w:type="dxa" w:w="5040"/>
            <w:vAlign w:val="center"/>
            <w:tcMar>
              <w:top w:w="90" w:type="dxa"/>
              <w:start w:w="110" w:type="dxa"/>
              <w:bottom w:w="90" w:type="dxa"/>
              <w:end w:w="110" w:type="dxa"/>
            </w:tcMar>
          </w:tcPr>
          <w:p>
            <w:pPr>
              <w:spacing w:after="0"/>
            </w:pPr>
            <w:r>
              <w:rPr>
                <w:sz w:val="17"/>
              </w:rPr>
              <w:t>License and policy</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LICENSE</w:t>
            </w:r>
            <w:r>
              <w:rPr>
                <w:sz w:val="17"/>
              </w:rPr>
              <w:t xml:space="preserve">, </w:t>
            </w:r>
            <w:r>
              <w:rPr>
                <w:rFonts w:ascii="Aptos Mono" w:hAnsi="Aptos Mono"/>
                <w:color w:val="0F766E"/>
                <w:sz w:val="17"/>
              </w:rPr>
              <w:t>README.md</w:t>
            </w:r>
            <w:r>
              <w:rPr>
                <w:sz w:val="17"/>
              </w:rPr>
              <w:t xml:space="preserve">, </w:t>
            </w:r>
            <w:r>
              <w:rPr>
                <w:rFonts w:ascii="Aptos Mono" w:hAnsi="Aptos Mono"/>
                <w:color w:val="0F766E"/>
                <w:sz w:val="17"/>
              </w:rPr>
              <w:t>CONTRIBUTING.md</w:t>
            </w:r>
            <w:r>
              <w:rPr>
                <w:sz w:val="17"/>
              </w:rPr>
              <w:t>, workspace manifests</w:t>
            </w:r>
          </w:p>
        </w:tc>
      </w:tr>
      <w:tr>
        <w:tc>
          <w:tcPr>
            <w:tcW w:type="dxa" w:w="5040"/>
            <w:vAlign w:val="center"/>
            <w:tcMar>
              <w:top w:w="90" w:type="dxa"/>
              <w:start w:w="110" w:type="dxa"/>
              <w:bottom w:w="90" w:type="dxa"/>
              <w:end w:w="110" w:type="dxa"/>
            </w:tcMar>
            <w:shd w:fill="E6FFFB"/>
          </w:tcPr>
          <w:p>
            <w:pPr>
              <w:spacing w:after="0"/>
            </w:pPr>
            <w:r>
              <w:rPr>
                <w:sz w:val="17"/>
              </w:rPr>
              <w:t>CI and audits</w:t>
            </w:r>
          </w:p>
        </w:tc>
        <w:tc>
          <w:tcPr>
            <w:tcW w:type="dxa" w:w="5040"/>
            <w:vAlign w:val="center"/>
            <w:tcMar>
              <w:top w:w="90" w:type="dxa"/>
              <w:start w:w="110" w:type="dxa"/>
              <w:bottom w:w="90" w:type="dxa"/>
              <w:end w:w="110" w:type="dxa"/>
            </w:tcMar>
            <w:shd w:fill="E6FFFB"/>
          </w:tcPr>
          <w:p>
            <w:pPr>
              <w:spacing w:after="0"/>
            </w:pPr>
            <w:r>
              <w:rPr>
                <w:rFonts w:ascii="Aptos Mono" w:hAnsi="Aptos Mono"/>
                <w:color w:val="0F766E"/>
                <w:sz w:val="17"/>
              </w:rPr>
              <w:t>.github/workflows/ci.yml</w:t>
            </w:r>
            <w:r>
              <w:rPr>
                <w:sz w:val="17"/>
              </w:rPr>
              <w:t xml:space="preserve">, </w:t>
            </w:r>
            <w:r>
              <w:rPr>
                <w:rFonts w:ascii="Aptos Mono" w:hAnsi="Aptos Mono"/>
                <w:color w:val="0F766E"/>
                <w:sz w:val="17"/>
              </w:rPr>
              <w:t>.github/workflows/security-audit.yml</w:t>
            </w:r>
            <w:r>
              <w:rPr>
                <w:sz w:val="17"/>
              </w:rPr>
              <w:t xml:space="preserve">, </w:t>
            </w:r>
            <w:r>
              <w:rPr>
                <w:rFonts w:ascii="Aptos Mono" w:hAnsi="Aptos Mono"/>
                <w:color w:val="0F766E"/>
                <w:sz w:val="17"/>
              </w:rPr>
              <w:t>scripts/security-audit.mjs</w:t>
            </w:r>
            <w:r>
              <w:rPr>
                <w:sz w:val="17"/>
              </w:rPr>
              <w:t xml:space="preserve">, </w:t>
            </w:r>
            <w:r>
              <w:rPr>
                <w:rFonts w:ascii="Aptos Mono" w:hAnsi="Aptos Mono"/>
                <w:color w:val="0F766E"/>
                <w:sz w:val="17"/>
              </w:rPr>
              <w:t>scripts/ci-python.sh</w:t>
            </w:r>
          </w:p>
        </w:tc>
      </w:tr>
      <w:tr>
        <w:tc>
          <w:tcPr>
            <w:tcW w:type="dxa" w:w="5040"/>
            <w:vAlign w:val="center"/>
            <w:tcMar>
              <w:top w:w="90" w:type="dxa"/>
              <w:start w:w="110" w:type="dxa"/>
              <w:bottom w:w="90" w:type="dxa"/>
              <w:end w:w="110" w:type="dxa"/>
            </w:tcMar>
          </w:tcPr>
          <w:p>
            <w:pPr>
              <w:spacing w:after="0"/>
            </w:pPr>
            <w:r>
              <w:rPr>
                <w:sz w:val="17"/>
              </w:rPr>
              <w:t>Internal auth</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apps/server/src/middleware/auth.middleware.ts</w:t>
            </w:r>
            <w:r>
              <w:rPr>
                <w:sz w:val="17"/>
              </w:rPr>
              <w:t xml:space="preserve">, </w:t>
            </w:r>
            <w:r>
              <w:rPr>
                <w:rFonts w:ascii="Aptos Mono" w:hAnsi="Aptos Mono"/>
                <w:color w:val="0F766E"/>
                <w:sz w:val="17"/>
              </w:rPr>
              <w:t>apps/server/src/modules/system/readiness.service.ts</w:t>
            </w:r>
          </w:p>
        </w:tc>
      </w:tr>
      <w:tr>
        <w:tc>
          <w:tcPr>
            <w:tcW w:type="dxa" w:w="5040"/>
            <w:vAlign w:val="center"/>
            <w:tcMar>
              <w:top w:w="90" w:type="dxa"/>
              <w:start w:w="110" w:type="dxa"/>
              <w:bottom w:w="90" w:type="dxa"/>
              <w:end w:w="110" w:type="dxa"/>
            </w:tcMar>
            <w:shd w:fill="E6FFFB"/>
          </w:tcPr>
          <w:p>
            <w:pPr>
              <w:spacing w:after="0"/>
            </w:pPr>
            <w:r>
              <w:rPr>
                <w:sz w:val="17"/>
              </w:rPr>
              <w:t>Secrets</w:t>
            </w:r>
          </w:p>
        </w:tc>
        <w:tc>
          <w:tcPr>
            <w:tcW w:type="dxa" w:w="5040"/>
            <w:vAlign w:val="center"/>
            <w:tcMar>
              <w:top w:w="90" w:type="dxa"/>
              <w:start w:w="110" w:type="dxa"/>
              <w:bottom w:w="90" w:type="dxa"/>
              <w:end w:w="110" w:type="dxa"/>
            </w:tcMar>
            <w:shd w:fill="E6FFFB"/>
          </w:tcPr>
          <w:p>
            <w:pPr>
              <w:spacing w:after="0"/>
            </w:pPr>
            <w:r>
              <w:rPr>
                <w:rFonts w:ascii="Aptos Mono" w:hAnsi="Aptos Mono"/>
                <w:color w:val="0F766E"/>
                <w:sz w:val="17"/>
              </w:rPr>
              <w:t>apps/server/src/lib/secrets.ts</w:t>
            </w:r>
            <w:r>
              <w:rPr>
                <w:sz w:val="17"/>
              </w:rPr>
              <w:t xml:space="preserve">, </w:t>
            </w:r>
            <w:r>
              <w:rPr>
                <w:rFonts w:ascii="Aptos Mono" w:hAnsi="Aptos Mono"/>
                <w:color w:val="0F766E"/>
                <w:sz w:val="17"/>
              </w:rPr>
              <w:t>apps/server/src/modules/secrets/secret-store.service.ts</w:t>
            </w:r>
          </w:p>
        </w:tc>
      </w:tr>
      <w:tr>
        <w:tc>
          <w:tcPr>
            <w:tcW w:type="dxa" w:w="5040"/>
            <w:vAlign w:val="center"/>
            <w:tcMar>
              <w:top w:w="90" w:type="dxa"/>
              <w:start w:w="110" w:type="dxa"/>
              <w:bottom w:w="90" w:type="dxa"/>
              <w:end w:w="110" w:type="dxa"/>
            </w:tcMar>
          </w:tcPr>
          <w:p>
            <w:pPr>
              <w:spacing w:after="0"/>
            </w:pPr>
            <w:r>
              <w:rPr>
                <w:sz w:val="17"/>
              </w:rPr>
              <w:t>Agents</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apps/server/src/modules/agent/*</w:t>
            </w:r>
            <w:r>
              <w:rPr>
                <w:sz w:val="17"/>
              </w:rPr>
              <w:t xml:space="preserve">, </w:t>
            </w:r>
            <w:r>
              <w:rPr>
                <w:rFonts w:ascii="Aptos Mono" w:hAnsi="Aptos Mono"/>
                <w:color w:val="0F766E"/>
                <w:sz w:val="17"/>
              </w:rPr>
              <w:t>apps/console/src/components/agents/*</w:t>
            </w:r>
          </w:p>
        </w:tc>
      </w:tr>
      <w:tr>
        <w:tc>
          <w:tcPr>
            <w:tcW w:type="dxa" w:w="5040"/>
            <w:vAlign w:val="center"/>
            <w:tcMar>
              <w:top w:w="90" w:type="dxa"/>
              <w:start w:w="110" w:type="dxa"/>
              <w:bottom w:w="90" w:type="dxa"/>
              <w:end w:w="110" w:type="dxa"/>
            </w:tcMar>
            <w:shd w:fill="E6FFFB"/>
          </w:tcPr>
          <w:p>
            <w:pPr>
              <w:spacing w:after="0"/>
            </w:pPr>
            <w:r>
              <w:rPr>
                <w:sz w:val="17"/>
              </w:rPr>
              <w:t>Calls and retention</w:t>
            </w:r>
          </w:p>
        </w:tc>
        <w:tc>
          <w:tcPr>
            <w:tcW w:type="dxa" w:w="5040"/>
            <w:vAlign w:val="center"/>
            <w:tcMar>
              <w:top w:w="90" w:type="dxa"/>
              <w:start w:w="110" w:type="dxa"/>
              <w:bottom w:w="90" w:type="dxa"/>
              <w:end w:w="110" w:type="dxa"/>
            </w:tcMar>
            <w:shd w:fill="E6FFFB"/>
          </w:tcPr>
          <w:p>
            <w:pPr>
              <w:spacing w:after="0"/>
            </w:pPr>
            <w:r>
              <w:rPr>
                <w:rFonts w:ascii="Aptos Mono" w:hAnsi="Aptos Mono"/>
                <w:color w:val="0F766E"/>
                <w:sz w:val="17"/>
              </w:rPr>
              <w:t>apps/server/src/modules/calllogs/*</w:t>
            </w:r>
            <w:r>
              <w:rPr>
                <w:sz w:val="17"/>
              </w:rPr>
              <w:t xml:space="preserve">, </w:t>
            </w:r>
            <w:r>
              <w:rPr>
                <w:rFonts w:ascii="Aptos Mono" w:hAnsi="Aptos Mono"/>
                <w:color w:val="0F766E"/>
                <w:sz w:val="17"/>
              </w:rPr>
              <w:t>apps/server/src/modules/retention/retention.service.ts</w:t>
            </w:r>
          </w:p>
        </w:tc>
      </w:tr>
      <w:tr>
        <w:tc>
          <w:tcPr>
            <w:tcW w:type="dxa" w:w="5040"/>
            <w:vAlign w:val="center"/>
            <w:tcMar>
              <w:top w:w="90" w:type="dxa"/>
              <w:start w:w="110" w:type="dxa"/>
              <w:bottom w:w="90" w:type="dxa"/>
              <w:end w:w="110" w:type="dxa"/>
            </w:tcMar>
          </w:tcPr>
          <w:p>
            <w:pPr>
              <w:spacing w:after="0"/>
            </w:pPr>
            <w:r>
              <w:rPr>
                <w:sz w:val="17"/>
              </w:rPr>
              <w:t>Billing</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apps/server/src/modules/billing/*</w:t>
            </w:r>
            <w:r>
              <w:rPr>
                <w:sz w:val="17"/>
              </w:rPr>
              <w:t xml:space="preserve">, </w:t>
            </w:r>
            <w:r>
              <w:rPr>
                <w:rFonts w:ascii="Aptos Mono" w:hAnsi="Aptos Mono"/>
                <w:color w:val="0F766E"/>
                <w:sz w:val="17"/>
              </w:rPr>
              <w:t>apps/console/src/app/(app)/settings/billing/page.tsx</w:t>
            </w:r>
          </w:p>
        </w:tc>
      </w:tr>
      <w:tr>
        <w:tc>
          <w:tcPr>
            <w:tcW w:type="dxa" w:w="5040"/>
            <w:vAlign w:val="center"/>
            <w:tcMar>
              <w:top w:w="90" w:type="dxa"/>
              <w:start w:w="110" w:type="dxa"/>
              <w:bottom w:w="90" w:type="dxa"/>
              <w:end w:w="110" w:type="dxa"/>
            </w:tcMar>
            <w:shd w:fill="E6FFFB"/>
          </w:tcPr>
          <w:p>
            <w:pPr>
              <w:spacing w:after="0"/>
            </w:pPr>
            <w:r>
              <w:rPr>
                <w:sz w:val="17"/>
              </w:rPr>
              <w:t>Knowledge base</w:t>
            </w:r>
          </w:p>
        </w:tc>
        <w:tc>
          <w:tcPr>
            <w:tcW w:type="dxa" w:w="5040"/>
            <w:vAlign w:val="center"/>
            <w:tcMar>
              <w:top w:w="90" w:type="dxa"/>
              <w:start w:w="110" w:type="dxa"/>
              <w:bottom w:w="90" w:type="dxa"/>
              <w:end w:w="110" w:type="dxa"/>
            </w:tcMar>
            <w:shd w:fill="E6FFFB"/>
          </w:tcPr>
          <w:p>
            <w:pPr>
              <w:spacing w:after="0"/>
            </w:pPr>
            <w:r>
              <w:rPr>
                <w:rFonts w:ascii="Aptos Mono" w:hAnsi="Aptos Mono"/>
                <w:color w:val="0F766E"/>
                <w:sz w:val="17"/>
              </w:rPr>
              <w:t>apps/server/src/modules/kb/*</w:t>
            </w:r>
            <w:r>
              <w:rPr>
                <w:sz w:val="17"/>
              </w:rPr>
              <w:t xml:space="preserve">, </w:t>
            </w:r>
            <w:r>
              <w:rPr>
                <w:rFonts w:ascii="Aptos Mono" w:hAnsi="Aptos Mono"/>
                <w:color w:val="0F766E"/>
                <w:sz w:val="17"/>
              </w:rPr>
              <w:t>apps/server/src/queues/kb.queue.ts</w:t>
            </w:r>
            <w:r>
              <w:rPr>
                <w:sz w:val="17"/>
              </w:rPr>
              <w:t xml:space="preserve">, </w:t>
            </w:r>
            <w:r>
              <w:rPr>
                <w:rFonts w:ascii="Aptos Mono" w:hAnsi="Aptos Mono"/>
                <w:color w:val="0F766E"/>
                <w:sz w:val="17"/>
              </w:rPr>
              <w:t>apps/server/src/workers/kb.worker.ts</w:t>
            </w:r>
            <w:r>
              <w:rPr>
                <w:sz w:val="17"/>
              </w:rPr>
              <w:t>, console KB components</w:t>
            </w:r>
          </w:p>
        </w:tc>
      </w:tr>
      <w:tr>
        <w:tc>
          <w:tcPr>
            <w:tcW w:type="dxa" w:w="5040"/>
            <w:vAlign w:val="center"/>
            <w:tcMar>
              <w:top w:w="90" w:type="dxa"/>
              <w:start w:w="110" w:type="dxa"/>
              <w:bottom w:w="90" w:type="dxa"/>
              <w:end w:w="110" w:type="dxa"/>
            </w:tcMar>
          </w:tcPr>
          <w:p>
            <w:pPr>
              <w:spacing w:after="0"/>
            </w:pPr>
            <w:r>
              <w:rPr>
                <w:sz w:val="17"/>
              </w:rPr>
              <w:t>Outbound</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apps/server/src/modules/outbound/*</w:t>
            </w:r>
            <w:r>
              <w:rPr>
                <w:sz w:val="17"/>
              </w:rPr>
              <w:t xml:space="preserve">, </w:t>
            </w:r>
            <w:r>
              <w:rPr>
                <w:rFonts w:ascii="Aptos Mono" w:hAnsi="Aptos Mono"/>
                <w:color w:val="0F766E"/>
                <w:sz w:val="17"/>
              </w:rPr>
              <w:t>apps/console/src/components/outbound/BatchCallForm.tsx</w:t>
            </w:r>
          </w:p>
        </w:tc>
      </w:tr>
      <w:tr>
        <w:tc>
          <w:tcPr>
            <w:tcW w:type="dxa" w:w="5040"/>
            <w:vAlign w:val="center"/>
            <w:tcMar>
              <w:top w:w="90" w:type="dxa"/>
              <w:start w:w="110" w:type="dxa"/>
              <w:bottom w:w="90" w:type="dxa"/>
              <w:end w:w="110" w:type="dxa"/>
            </w:tcMar>
            <w:shd w:fill="E6FFFB"/>
          </w:tcPr>
          <w:p>
            <w:pPr>
              <w:spacing w:after="0"/>
            </w:pPr>
            <w:r>
              <w:rPr>
                <w:sz w:val="17"/>
              </w:rPr>
              <w:t>Organization cleanup</w:t>
            </w:r>
          </w:p>
        </w:tc>
        <w:tc>
          <w:tcPr>
            <w:tcW w:type="dxa" w:w="5040"/>
            <w:vAlign w:val="center"/>
            <w:tcMar>
              <w:top w:w="90" w:type="dxa"/>
              <w:start w:w="110" w:type="dxa"/>
              <w:bottom w:w="90" w:type="dxa"/>
              <w:end w:w="110" w:type="dxa"/>
            </w:tcMar>
            <w:shd w:fill="E6FFFB"/>
          </w:tcPr>
          <w:p>
            <w:pPr>
              <w:spacing w:after="0"/>
            </w:pPr>
            <w:r>
              <w:rPr>
                <w:rFonts w:ascii="Aptos Mono" w:hAnsi="Aptos Mono"/>
                <w:color w:val="0F766E"/>
                <w:sz w:val="17"/>
              </w:rPr>
              <w:t>apps/server/src/modules/organization/organization-cleanup.service.ts</w:t>
            </w:r>
            <w:r>
              <w:rPr>
                <w:sz w:val="17"/>
              </w:rPr>
              <w:t xml:space="preserve">, </w:t>
            </w:r>
            <w:r>
              <w:rPr>
                <w:rFonts w:ascii="Aptos Mono" w:hAnsi="Aptos Mono"/>
                <w:color w:val="0F766E"/>
                <w:sz w:val="17"/>
              </w:rPr>
              <w:t>apps/server/src/lib/auth.ts</w:t>
            </w:r>
          </w:p>
        </w:tc>
      </w:tr>
      <w:tr>
        <w:tc>
          <w:tcPr>
            <w:tcW w:type="dxa" w:w="5040"/>
            <w:vAlign w:val="center"/>
            <w:tcMar>
              <w:top w:w="90" w:type="dxa"/>
              <w:start w:w="110" w:type="dxa"/>
              <w:bottom w:w="90" w:type="dxa"/>
              <w:end w:w="110" w:type="dxa"/>
            </w:tcMar>
          </w:tcPr>
          <w:p>
            <w:pPr>
              <w:spacing w:after="0"/>
            </w:pPr>
            <w:r>
              <w:rPr>
                <w:sz w:val="17"/>
              </w:rPr>
              <w:t>AI runtime</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apps/ai/main.py</w:t>
            </w:r>
            <w:r>
              <w:rPr>
                <w:sz w:val="17"/>
              </w:rPr>
              <w:t xml:space="preserve">, </w:t>
            </w:r>
            <w:r>
              <w:rPr>
                <w:rFonts w:ascii="Aptos Mono" w:hAnsi="Aptos Mono"/>
                <w:color w:val="0F766E"/>
                <w:sz w:val="17"/>
              </w:rPr>
              <w:t>apps/ai/handlers/livekit_handler.py</w:t>
            </w:r>
            <w:r>
              <w:rPr>
                <w:sz w:val="17"/>
              </w:rPr>
              <w:t>, Python requirement files</w:t>
            </w:r>
          </w:p>
        </w:tc>
      </w:tr>
      <w:tr>
        <w:tc>
          <w:tcPr>
            <w:tcW w:type="dxa" w:w="5040"/>
            <w:vAlign w:val="center"/>
            <w:tcMar>
              <w:top w:w="90" w:type="dxa"/>
              <w:start w:w="110" w:type="dxa"/>
              <w:bottom w:w="90" w:type="dxa"/>
              <w:end w:w="110" w:type="dxa"/>
            </w:tcMar>
            <w:shd w:fill="E6FFFB"/>
          </w:tcPr>
          <w:p>
            <w:pPr>
              <w:spacing w:after="0"/>
            </w:pPr>
            <w:r>
              <w:rPr>
                <w:sz w:val="17"/>
              </w:rPr>
              <w:t>API contract</w:t>
            </w:r>
          </w:p>
        </w:tc>
        <w:tc>
          <w:tcPr>
            <w:tcW w:type="dxa" w:w="5040"/>
            <w:vAlign w:val="center"/>
            <w:tcMar>
              <w:top w:w="90" w:type="dxa"/>
              <w:start w:w="110" w:type="dxa"/>
              <w:bottom w:w="90" w:type="dxa"/>
              <w:end w:w="110" w:type="dxa"/>
            </w:tcMar>
            <w:shd w:fill="E6FFFB"/>
          </w:tcPr>
          <w:p>
            <w:pPr>
              <w:spacing w:after="0"/>
            </w:pPr>
            <w:r>
              <w:rPr>
                <w:rFonts w:ascii="Aptos Mono" w:hAnsi="Aptos Mono"/>
                <w:color w:val="0F766E"/>
                <w:sz w:val="17"/>
              </w:rPr>
              <w:t>apps/server/src/config/swagger.ts</w:t>
            </w:r>
            <w:r>
              <w:rPr>
                <w:sz w:val="17"/>
              </w:rPr>
              <w:t xml:space="preserve"> and system Swagger tests</w:t>
            </w:r>
          </w:p>
        </w:tc>
      </w:tr>
      <w:tr>
        <w:tc>
          <w:tcPr>
            <w:tcW w:type="dxa" w:w="5040"/>
            <w:vAlign w:val="center"/>
            <w:tcMar>
              <w:top w:w="90" w:type="dxa"/>
              <w:start w:w="110" w:type="dxa"/>
              <w:bottom w:w="90" w:type="dxa"/>
              <w:end w:w="110" w:type="dxa"/>
            </w:tcMar>
          </w:tcPr>
          <w:p>
            <w:pPr>
              <w:spacing w:after="0"/>
            </w:pPr>
            <w:r>
              <w:rPr>
                <w:sz w:val="17"/>
              </w:rPr>
              <w:t>Dependency policy</w:t>
            </w:r>
          </w:p>
        </w:tc>
        <w:tc>
          <w:tcPr>
            <w:tcW w:type="dxa" w:w="5040"/>
            <w:vAlign w:val="center"/>
            <w:tcMar>
              <w:top w:w="90" w:type="dxa"/>
              <w:start w:w="110" w:type="dxa"/>
              <w:bottom w:w="90" w:type="dxa"/>
              <w:end w:w="110" w:type="dxa"/>
            </w:tcMar>
          </w:tcPr>
          <w:p>
            <w:pPr>
              <w:spacing w:after="0"/>
            </w:pPr>
            <w:r>
              <w:rPr>
                <w:rFonts w:ascii="Aptos Mono" w:hAnsi="Aptos Mono"/>
                <w:color w:val="0F766E"/>
                <w:sz w:val="17"/>
              </w:rPr>
              <w:t>package.json</w:t>
            </w:r>
            <w:r>
              <w:rPr>
                <w:sz w:val="17"/>
              </w:rPr>
              <w:t xml:space="preserve">, </w:t>
            </w:r>
            <w:r>
              <w:rPr>
                <w:rFonts w:ascii="Aptos Mono" w:hAnsi="Aptos Mono"/>
                <w:color w:val="0F766E"/>
                <w:sz w:val="17"/>
              </w:rPr>
              <w:t>pnpm-lock.yaml</w:t>
            </w:r>
            <w:r>
              <w:rPr>
                <w:sz w:val="17"/>
              </w:rPr>
              <w:t xml:space="preserve">, </w:t>
            </w:r>
            <w:r>
              <w:rPr>
                <w:rFonts w:ascii="Aptos Mono" w:hAnsi="Aptos Mono"/>
                <w:color w:val="0F766E"/>
                <w:sz w:val="17"/>
              </w:rPr>
              <w:t>patches/minimatch@10.2.5.patch</w:t>
            </w:r>
          </w:p>
        </w:tc>
      </w:tr>
    </w:tbl>
    <w:p/>
    <w:p>
      <w:pPr>
        <w:pStyle w:val="Heading1"/>
      </w:pPr>
      <w:r>
        <w:t>Merge Checklist</w:t>
      </w:r>
    </w:p>
    <w:p>
      <w:pPr>
        <w:pStyle w:val="ListBullet"/>
        <w:spacing w:after="40"/>
      </w:pPr>
      <w:r>
        <w:t>[ ] Legal/product owner approves MIT relicensing.</w:t>
      </w:r>
    </w:p>
    <w:p>
      <w:pPr>
        <w:pStyle w:val="ListBullet"/>
        <w:spacing w:after="40"/>
      </w:pPr>
      <w:r>
        <w:t>[ ] Existing encrypted secrets are tested with the production migration key.</w:t>
      </w:r>
    </w:p>
    <w:p>
      <w:pPr>
        <w:pStyle w:val="ListBullet"/>
        <w:spacing w:after="40"/>
      </w:pPr>
      <w:r>
        <w:t>[ ] Required environment variables are present in staging.</w:t>
      </w:r>
    </w:p>
    <w:p>
      <w:pPr>
        <w:pStyle w:val="ListBullet"/>
        <w:spacing w:after="40"/>
      </w:pPr>
      <w:r>
        <w:t>[ ] GitHub CI completes console and web production builds.</w:t>
      </w:r>
    </w:p>
    <w:p>
      <w:pPr>
        <w:pStyle w:val="ListBullet"/>
        <w:spacing w:after="40"/>
      </w:pPr>
      <w:r>
        <w:t>[ ] GitHub CI completes the docs production build.</w:t>
      </w:r>
    </w:p>
    <w:p>
      <w:pPr>
        <w:pStyle w:val="ListBullet"/>
        <w:spacing w:after="40"/>
      </w:pPr>
      <w:r>
        <w:t>[ ] GitHub CI completes Prisma validation.</w:t>
      </w:r>
    </w:p>
    <w:p>
      <w:pPr>
        <w:pStyle w:val="ListBullet"/>
        <w:spacing w:after="40"/>
      </w:pPr>
      <w:r>
        <w:t>[ ] Full Node and Python audits remain clean.</w:t>
      </w:r>
    </w:p>
    <w:p>
      <w:pPr>
        <w:pStyle w:val="ListBullet"/>
        <w:spacing w:after="40"/>
      </w:pPr>
      <w:r>
        <w:t>[ ] Repository-wide public claims are rewritten or linked to approved</w:t>
      </w:r>
    </w:p>
    <w:p>
      <w:pPr>
        <w:keepLines w:val="0"/>
      </w:pPr>
      <w:r>
        <w:t>evidence before affected pages are promoted.</w:t>
      </w:r>
    </w:p>
    <w:p>
      <w:pPr>
        <w:pStyle w:val="ListBullet"/>
        <w:spacing w:after="40"/>
      </w:pPr>
      <w:r>
        <w:t>[ ] KB success, automatic retry, manual retry, and terminal failure are tested.</w:t>
      </w:r>
    </w:p>
    <w:p>
      <w:pPr>
        <w:pStyle w:val="ListBullet"/>
        <w:spacing w:after="40"/>
      </w:pPr>
      <w:r>
        <w:t>[ ] Cross-tenant upload keys and secret references are rejected.</w:t>
      </w:r>
    </w:p>
    <w:p>
      <w:pPr>
        <w:pStyle w:val="ListBullet"/>
        <w:spacing w:after="40"/>
      </w:pPr>
      <w:r>
        <w:t>[ ] Agent, call, KB, and organization deletion are exercised with disposable</w:t>
      </w:r>
    </w:p>
    <w:p>
      <w:pPr>
        <w:keepLines w:val="0"/>
      </w:pPr>
      <w:r>
        <w:t>external resources.</w:t>
      </w:r>
    </w:p>
    <w:p>
      <w:pPr>
        <w:pStyle w:val="ListBullet"/>
        <w:spacing w:after="40"/>
      </w:pPr>
      <w:r>
        <w:t>[ ] Billing usage is reconciled against a known call period.</w:t>
      </w:r>
    </w:p>
    <w:p>
      <w:pPr>
        <w:pStyle w:val="ListBullet"/>
        <w:spacing w:after="40"/>
      </w:pPr>
      <w:r>
        <w:t>[ ] Readiness policy matches each deployment environment.</w:t>
      </w:r>
    </w:p>
    <w:p>
      <w:pPr>
        <w:pStyle w:val="ListBullet"/>
        <w:spacing w:after="40"/>
      </w:pPr>
      <w:r>
        <w:t>[ ] Dependency compatibility patch is reviewed and documented for future</w:t>
      </w:r>
    </w:p>
    <w:p>
      <w:pPr>
        <w:keepLines w:val="0"/>
      </w:pPr>
      <w:r>
        <w:t>removal.</w:t>
      </w:r>
    </w:p>
    <w:p>
      <w:pPr>
        <w:pStyle w:val="Heading1"/>
      </w:pPr>
      <w:r>
        <w:t>Conclusion</w:t>
      </w:r>
    </w:p>
    <w:p>
      <w:pPr>
        <w:keepLines w:val="0"/>
      </w:pPr>
      <w:r>
        <w:t>This remediation is a coordinated reliability and security change rather than a collection of isolated fixes. Its central outcome is that QuickVoice now treats tenant identity, secret ownership, retry semantics, external resources, and retention policy as first-class parts of each workflow.</w:t>
      </w:r>
    </w:p>
    <w:p>
      <w:pPr>
        <w:keepLines w:val="0"/>
      </w:pPr>
      <w:r>
        <w:t>The implementation has broad automated coverage and clean dependency audits. The remaining release work is operational and governance-focused: complete production builds and Prisma generation in a normal CI host, resolve or approve the broader public-claims inventory, validate encryption continuity, exercise provider cleanup with disposable resources, and obtain explicit approval for the MIT license change.</w:t>
      </w:r>
    </w:p>
    <w:sectPr w:rsidR="00FC693F" w:rsidRPr="0006063C" w:rsidSect="00034616">
      <w:headerReference w:type="default" r:id="rId9"/>
      <w:footerReference w:type="default" r:id="rId10"/>
      <w:pgSz w:w="12240" w:h="15840"/>
      <w:pgMar w:top="1008" w:right="1080" w:bottom="936" w:left="1080"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80"/>
      <w:jc w:val="center"/>
    </w:pPr>
    <w:r>
      <w:rPr>
        <w:rFonts w:ascii="Aptos" w:hAnsi="Aptos"/>
        <w:color w:val="64748B"/>
        <w:sz w:val="16"/>
      </w:rPr>
      <w:t xml:space="preserve">QuickVoice | </w:t>
    </w:r>
    <w:r>
      <w:fldChar w:fldCharType="begin"/>
      <w:instrText xml:space="preserve">PAGE</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right"/>
    </w:pPr>
    <w:r>
      <w:rPr>
        <w:rFonts w:ascii="Aptos" w:hAnsi="Aptos"/>
        <w:color w:val="64748B"/>
        <w:sz w:val="16"/>
      </w:rPr>
      <w:t>QuickVoice Audit Remediation and Hardening Report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9" w:lineRule="auto"/>
    </w:pPr>
    <w:rPr>
      <w:rFonts w:ascii="Aptos" w:hAnsi="Aptos"/>
      <w:color w:val="0F172A"/>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00"/>
      <w:outlineLvl w:val="0"/>
    </w:pPr>
    <w:rPr>
      <w:rFonts w:asciiTheme="majorHAnsi" w:eastAsiaTheme="majorEastAsia" w:hAnsiTheme="majorHAnsi" w:cstheme="majorBidi" w:ascii="Aptos Display" w:hAnsi="Aptos Display"/>
      <w:b/>
      <w:bCs/>
      <w:color w:val="134E4A"/>
      <w:sz w:val="38"/>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Display" w:hAnsi="Aptos Display"/>
      <w:b/>
      <w:bCs/>
      <w:color w:val="0F172A"/>
      <w:sz w:val="30"/>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Display" w:hAnsi="Aptos Display"/>
      <w:b/>
      <w:bCs/>
      <w:color w:val="0F172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contextualSpacing/>
    </w:pPr>
    <w:rPr>
      <w:rFonts w:asciiTheme="majorHAnsi" w:eastAsiaTheme="majorEastAsia" w:hAnsiTheme="majorHAnsi" w:cstheme="majorBidi" w:ascii="Aptos Display" w:hAnsi="Aptos Display"/>
      <w:b/>
      <w:color w:val="0F766E"/>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03" w:hanging="259"/>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03" w:hanging="259"/>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Aptos Mono" w:hAnsi="Aptos Mono"/>
      <w:color w:val="0F172A"/>
      <w:sz w:val="17"/>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QuickVoice Audit Remediation and Hardening Report</dc:title>
  <dc:subject>Detailed change, risk, deployment, and verification report</dc:subject>
  <dc:creator>QuickVoice Engineering</dc:creator>
  <cp:keywords>QuickVoice, audit, remediation, security, reliability, retention, billing</cp:keywords>
  <dc:description>Generated from the committed Markdown source.</dc:description>
  <cp:lastModifiedBy/>
  <cp:revision>1</cp:revision>
  <dcterms:created xsi:type="dcterms:W3CDTF">2013-12-23T23:15:00Z</dcterms:created>
  <dcterms:modified xsi:type="dcterms:W3CDTF">2013-12-23T23:15:00Z</dcterms:modified>
  <cp:category/>
</cp:coreProperties>
</file>