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Report: Optimising NYC Taxi Operations</w:t>
      </w:r>
    </w:p>
    <w:p>
      <w:pPr>
        <w:spacing w:after="80"/>
        <w:jc w:val="center"/>
      </w:pPr>
      <w:r>
        <w:rPr>
          <w:i/>
          <w:sz w:val="24"/>
        </w:rPr>
        <w:t>Exploratory Data Analysis – 2023 NYC Yellow Taxi Dataset</w:t>
      </w:r>
    </w:p>
    <w:p>
      <w:pPr>
        <w:spacing w:after="200"/>
        <w:jc w:val="center"/>
      </w:pPr>
      <w:r>
        <w:rPr>
          <w:sz w:val="22"/>
        </w:rPr>
        <w:t>Anant Kumar Tripathi  |  22 February 2026  |  Sample: 265,487 trips  |  Sampling fraction: 0.7%</w:t>
      </w:r>
    </w:p>
    <w:p>
      <w:pPr>
        <w:spacing w:after="80"/>
      </w:pPr>
    </w:p>
    <w:p>
      <w:pPr>
        <w:pStyle w:val="Heading2"/>
        <w:numPr>
          <w:ilvl w:val="0"/>
          <w:numId w:val="1"/>
        </w:numPr>
      </w:pPr>
      <w:r>
        <w:t>Data Preparation</w:t>
      </w:r>
    </w:p>
    <w:p>
      <w:pPr>
        <w:numPr>
          <w:ilvl w:val="1"/>
          <w:numId w:val="1"/>
        </w:numPr>
      </w:pPr>
      <w:r>
        <w:t>Loading the dataset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Sample the data and combine the files</w:t>
      </w:r>
    </w:p>
    <w:p>
      <w:pPr>
        <w:spacing w:before="0" w:after="120"/>
        <w:ind w:left="360"/>
      </w:pPr>
      <w:r>
        <w:rPr>
          <w:b/>
        </w:rPr>
        <w:t xml:space="preserve">Approach: </w:t>
      </w:r>
      <w:r>
        <w:t xml:space="preserve">Stratified hourly sampling was applied across all 12 monthly Parquet files. Each file was grouped by date and hour, and 0.7% of records were randomly sampled per bucket, ensuring proportional representation across all 24 hours and all 12 months.</w:t>
      </w:r>
    </w:p>
    <w:p>
      <w:pPr>
        <w:spacing w:before="0" w:after="120"/>
        <w:ind w:left="360"/>
      </w:pPr>
      <w:r>
        <w:rPr>
          <w:b/>
        </w:rPr>
        <w:t xml:space="preserve">Result: </w:t>
      </w:r>
      <w:r>
        <w:t xml:space="preserve">265,487 rows sampled and saved to nyc_taxi_2023_sampled.parquet, representing ~0.7% of the ~36 million 2023 trips.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1: </w:t>
      </w:r>
      <w:r>
        <w:t>Monthly Sample Breakdown – Stratified Hourly Sampling (0.7% per hour)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1200"/>
        <w:gridCol w:w="2500"/>
        <w:gridCol w:w="2300"/>
        <w:gridCol w:w="2500"/>
      </w:tblGrid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Month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Month Name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Sampled Rows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Cumulative Total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January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21,288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21,288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February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23,617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44,905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March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22,939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67,844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April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19,546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87,390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May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20,208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107,598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June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22,810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130,408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July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19,502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149,910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August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18,748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168,658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September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18,665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187,323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October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22,756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210,079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November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21,652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231,731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December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21,651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253,382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/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TOTAL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265,487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</w:tr>
    </w:tbl>
    <w:p>
      <w:pPr>
        <w:spacing w:after="80"/>
      </w:pPr>
    </w:p>
    <w:p>
      <w:pPr>
        <w:pStyle w:val="Heading2"/>
        <w:numPr>
          <w:ilvl w:val="0"/>
          <w:numId w:val="1"/>
        </w:numPr>
      </w:pPr>
      <w:r>
        <w:t>Data Cleaning</w:t>
      </w:r>
    </w:p>
    <w:p>
      <w:pPr>
        <w:pStyle w:val="Heading3"/>
        <w:numPr>
          <w:ilvl w:val="1"/>
          <w:numId w:val="1"/>
        </w:numPr>
      </w:pPr>
      <w:r>
        <w:t>Fixing Columns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Fix the index</w:t>
      </w:r>
    </w:p>
    <w:p>
      <w:pPr>
        <w:spacing w:before="0" w:after="120"/>
        <w:ind w:left="360"/>
      </w:pPr>
      <w:r>
        <w:t xml:space="preserve">Index reset using reset_index(drop=True) for a clean 0-to-N integer index. The store_and_fwd_flag column (on-device storage indicator) was dropped as non-essential.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Combine the two airport_fee columns</w:t>
      </w:r>
    </w:p>
    <w:p>
      <w:pPr>
        <w:spacing w:before="0" w:after="120"/>
        <w:ind w:left="360"/>
      </w:pPr>
      <w:r>
        <w:t xml:space="preserve">Two airport fee variants (Airport_fee, airport_fee) were found across monthly files. Both were filled with 0 for NaN, summed into a single airport_fee column, and duplicates dropped.</w:t>
      </w:r>
    </w:p>
    <w:p>
      <w:pPr>
        <w:pStyle w:val="Heading3"/>
        <w:numPr>
          <w:ilvl w:val="1"/>
          <w:numId w:val="1"/>
        </w:numPr>
      </w:pPr>
      <w:r>
        <w:t>Handling Missing Values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proportion of missing values in each column</w:t>
      </w:r>
    </w:p>
    <w:p>
      <w:pPr>
        <w:spacing w:before="0" w:after="120"/>
        <w:ind w:left="360"/>
      </w:pPr>
      <w:r>
        <w:t xml:space="preserve">Only 3 of 22 columns had missing values. All monetary and ID columns were 100% complete.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2: </w:t>
      </w:r>
      <w:r>
        <w:t>Missing Value Proportions by Column (265,487-row Sample)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500"/>
        <w:gridCol w:w="1600"/>
        <w:gridCol w:w="1400"/>
        <w:gridCol w:w="3000"/>
      </w:tblGrid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Column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Missing Count</w:t>
            </w:r>
          </w:p>
        </w:tc>
        <w:tc>
          <w:tcPr>
            <w:tcW w:w="1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Missing 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Action Taken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passenger_count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8,831</w:t>
            </w:r>
          </w:p>
        </w:tc>
        <w:tc>
          <w:tcPr>
            <w:tcW w:w="1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3.33%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Imputed with median (1)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RatecodeID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8,831</w:t>
            </w:r>
          </w:p>
        </w:tc>
        <w:tc>
          <w:tcPr>
            <w:tcW w:w="1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3.33%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Filled with 1 (Standard)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congestion_surcharge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~5,300</w:t>
            </w:r>
          </w:p>
        </w:tc>
        <w:tc>
          <w:tcPr>
            <w:tcW w:w="1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~2.00%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Filled with 0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All other columns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</w:t>
            </w:r>
          </w:p>
        </w:tc>
        <w:tc>
          <w:tcPr>
            <w:tcW w:w="1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0.00%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 action required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Handling missing values in passenger_count</w:t>
      </w:r>
    </w:p>
    <w:p>
      <w:pPr>
        <w:spacing w:before="0" w:after="120"/>
        <w:ind w:left="360"/>
      </w:pPr>
      <w:r>
        <w:rPr>
          <w:b/>
        </w:rPr>
        <w:t xml:space="preserve">Method: </w:t>
      </w:r>
      <w:r>
        <w:t xml:space="preserve">NaN rows imputed with median = 1. Zero-count rows also replaced with 1.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3: </w:t>
      </w:r>
      <w:r>
        <w:t>Post-Imputation Passenger Count Distribution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800"/>
        <w:gridCol w:w="2500"/>
        <w:gridCol w:w="3200"/>
      </w:tblGrid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Passenger Count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Trip Count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Share (%)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206,291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80.4%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38,666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15.1%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9,640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3.8%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5,340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2.1%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3,300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1.3%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2,234</w:t>
            </w:r>
          </w:p>
        </w:tc>
        <w:tc>
          <w:tcPr>
            <w:tcW w:w="3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0.9%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Handle missing values in RatecodeID</w:t>
      </w:r>
    </w:p>
    <w:p>
      <w:pPr>
        <w:spacing w:before="0" w:after="120"/>
        <w:ind w:left="360"/>
      </w:pPr>
      <w:r>
        <w:rPr>
          <w:b/>
        </w:rPr>
        <w:t xml:space="preserve">Method: </w:t>
      </w:r>
      <w:r>
        <w:t xml:space="preserve">3.33% null values filled with 1 (Standard rate – most common). Column cast to integer. Rate codes: 1=Standard, 2=JFK, 3=Newark, 4=Nassau/Westchester, 5=Negotiated, 6=Group ride.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Impute NaN in congestion_surcharge</w:t>
      </w:r>
    </w:p>
    <w:p>
      <w:pPr>
        <w:spacing w:before="0" w:after="120"/>
        <w:ind w:left="360"/>
      </w:pPr>
      <w:r>
        <w:rPr>
          <w:b/>
        </w:rPr>
        <w:t xml:space="preserve">Method: </w:t>
      </w:r>
      <w:r>
        <w:t xml:space="preserve">Null values filled with 0 (surcharge not applicable). All other monetary columns (extra, mta_tax, tip_amount, tolls_amount, improvement_surcharge, airport_fee) also verified and residual NaNs filled with 0. Post-treatment: df.isnull().sum().sum() = 0.</w:t>
      </w:r>
    </w:p>
    <w:p>
      <w:pPr>
        <w:pStyle w:val="Heading3"/>
        <w:numPr>
          <w:ilvl w:val="1"/>
          <w:numId w:val="1"/>
        </w:numPr>
      </w:pPr>
      <w:r>
        <w:t>Handling Outliers and Standardising Values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Check outliers in payment type, trip distance and tip amount columns</w:t>
      </w:r>
    </w:p>
    <w:p>
      <w:pPr>
        <w:spacing w:before="0" w:after="120"/>
        <w:ind w:left="360"/>
      </w:pPr>
      <w:r>
        <w:t xml:space="preserve">Full df.describe() run to identify anomalous values. Six outlier categories found and handled: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4: </w:t>
      </w:r>
      <w:r>
        <w:t>Outlier Categories – Identification and Treatment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400"/>
        <w:gridCol w:w="2600"/>
        <w:gridCol w:w="1500"/>
        <w:gridCol w:w="2000"/>
      </w:tblGrid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Category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Condition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Action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Rows Affected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Impossible short trip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distance &lt; 0.1 mi AND fare &gt; $300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Few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Zero-trip anomaly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distance=0, fare=0, PU≠DO zone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Several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Extreme distance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trip_distance &gt; 250 miles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Few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Invalid payment type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payment_type = 0 (undefined)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Several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Excess passengers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passenger_count &gt; 6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Negative monetary values</w:t>
            </w:r>
          </w:p>
        </w:tc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 &lt; 0 or total &lt; 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Dropped/clipped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40</w:t>
            </w:r>
          </w:p>
        </w:tc>
      </w:tr>
    </w:tbl>
    <w:p>
      <w:pPr>
        <w:spacing w:after="80"/>
      </w:pPr>
    </w:p>
    <w:p>
      <w:pPr>
        <w:spacing w:before="0" w:after="120"/>
        <w:ind w:left="360"/>
      </w:pPr>
      <w:r>
        <w:rPr>
          <w:b/>
        </w:rPr>
        <w:t xml:space="preserve">Clean dataset: </w:t>
      </w:r>
      <w:r>
        <w:t xml:space="preserve">256,631 rows after all cleaning (3.3% removed from 265,487). Datetime columns already in datetime64 format; no further standardisation needed.</w:t>
      </w:r>
    </w:p>
    <w:p>
      <w:pPr>
        <w:pStyle w:val="Heading2"/>
        <w:numPr>
          <w:ilvl w:val="0"/>
          <w:numId w:val="1"/>
        </w:numPr>
      </w:pPr>
      <w:r>
        <w:t>Exploratory Data Analysis</w:t>
      </w:r>
    </w:p>
    <w:p>
      <w:pPr>
        <w:pStyle w:val="Heading3"/>
        <w:numPr>
          <w:ilvl w:val="1"/>
          <w:numId w:val="1"/>
        </w:numPr>
      </w:pPr>
      <w:r>
        <w:t>General EDA: Finding Patterns and Trends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Classify variables into categorical and numerical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5: </w:t>
      </w:r>
      <w:r>
        <w:t>Variable Classification – 22 Columns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500"/>
        <w:gridCol w:w="1600"/>
        <w:gridCol w:w="1600"/>
        <w:gridCol w:w="2800"/>
      </w:tblGrid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Variable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Type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Sub-type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Reasoning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VendorID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Categorical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Nominal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Vendor code (1 or 2); no order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RatecodeID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Categorical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Ordinal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 rate type (1–6); codes with meaning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PULocationID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Categorical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Nominal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Zone identifier; no arithmetic meaning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DOLocationID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Categorical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Nominal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Zone identifier; no arithmetic meaning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payment_type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Categorical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Nominal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Payment method (1–6); no order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passenger_count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Discrete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Integer count 1–6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trip_distance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Miles; real-valued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USD; real-valued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tip_amount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USD; real-valued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total_amount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USD; real-valued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trip_duration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Minutes; derived from datetime diff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tpep_pickup_datetime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Temporal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 datetime64</w:t>
            </w:r>
          </w:p>
        </w:tc>
      </w:tr>
      <w:tr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tpep_dropoff_datetime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Numerical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Temporal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Continuous datetime64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distribution of taxi pickups by hours, days of the week, and months</w:t>
      </w:r>
    </w:p>
    <w:p>
      <w:pPr>
        <w:spacing w:before="0" w:after="120"/>
        <w:ind w:left="360"/>
      </w:pPr>
      <w:r>
        <w:rPr>
          <w:b/>
        </w:rPr>
        <w:t xml:space="preserve">Hourly: </w:t>
      </w:r>
      <w:r>
        <w:t xml:space="preserve">Strong evening peak at 18:00 (18,080 trips). Bimodal weekday pattern visible (morning 7–9 AM, evening 15–19). Minimum at 3–5 AM (~1,400 trips).</w:t>
      </w:r>
    </w:p>
    <w:p>
      <w:pPr>
        <w:spacing w:before="0" w:after="120"/>
        <w:ind w:left="360"/>
      </w:pPr>
      <w:r>
        <w:rPr>
          <w:b/>
        </w:rPr>
        <w:t xml:space="preserve">Daily: </w:t>
      </w:r>
      <w:r>
        <w:t xml:space="preserve">Thursday highest (40,000+ trips), Monday and Sunday lowest (~32,000). Weekdays exceed weekends in total volume.</w:t>
      </w:r>
    </w:p>
    <w:p>
      <w:pPr>
        <w:spacing w:before="0" w:after="120"/>
        <w:ind w:left="360"/>
      </w:pPr>
      <w:r>
        <w:rPr>
          <w:b/>
        </w:rPr>
        <w:t xml:space="preserve">Monthly: </w:t>
      </w:r>
      <w:r>
        <w:t xml:space="preserve">May and October highest; August and September lowest. Consistent with NYC business and tourist cycles.</w:t>
      </w:r>
    </w:p>
    <w:p>
      <w:pPr>
        <w:spacing w:after="80"/>
      </w:pP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6400800" cy="2099505"/>
            <wp:effectExtent l="0" t="0" r="0" b="0"/>
            <wp:docPr id="1001" name="Figure 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fig01_pickups_by_hour.png"/>
                    <pic:cNvPicPr/>
                  </pic:nvPicPr>
                  <pic:blipFill>
                    <a:blip xmlns:r="http://schemas.openxmlformats.org/officeDocument/2006/relationships" r:embed="rFig0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0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1: </w:t>
      </w:r>
      <w:r>
        <w:rPr>
          <w:i/>
          <w:sz w:val="20"/>
          <w:szCs w:val="20"/>
        </w:rPr>
        <w:t>Taxi Pickups by Hour of Day – Peak at 18:00 with 18,080 trips; lowest at 3–5 AM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943600" cy="2343785"/>
            <wp:effectExtent l="0" t="0" r="0" b="0"/>
            <wp:docPr id="1003" name="Figure 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" name="fig02_pickups_by_day.png"/>
                    <pic:cNvPicPr/>
                  </pic:nvPicPr>
                  <pic:blipFill>
                    <a:blip xmlns:r="http://schemas.openxmlformats.org/officeDocument/2006/relationships" r:embed="rFig0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2: </w:t>
      </w:r>
      <w:r>
        <w:rPr>
          <w:i/>
          <w:sz w:val="20"/>
          <w:szCs w:val="20"/>
        </w:rPr>
        <w:t>Taxi Pickups by Day of Week – Thursday highest, Sunday and Monday lowest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943600" cy="2343785"/>
            <wp:effectExtent l="0" t="0" r="0" b="0"/>
            <wp:docPr id="1005" name="Fig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fig03_pickups_by_month.png"/>
                    <pic:cNvPicPr/>
                  </pic:nvPicPr>
                  <pic:blipFill>
                    <a:blip xmlns:r="http://schemas.openxmlformats.org/officeDocument/2006/relationships" r:embed="rFig0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3: </w:t>
      </w:r>
      <w:r>
        <w:rPr>
          <w:i/>
          <w:sz w:val="20"/>
          <w:szCs w:val="20"/>
        </w:rPr>
        <w:t>Taxi Pickups by Month (2023) – May and October are peak months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Filter out the zero/negative values in fares, distance and tips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6: </w:t>
      </w:r>
      <w:r>
        <w:t>Zero-Value Counts in Key Financial Columns (post-clean, 256,631 rows)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600"/>
        <w:gridCol w:w="1600"/>
        <w:gridCol w:w="4300"/>
      </w:tblGrid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Column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Zero Count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Notes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74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Dropped: df_fin uses fare &gt; 0 filter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tip_amount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57,388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Valid: cash trips have no recorded tip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total_amount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29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Dropped: df_fin uses total &gt; 0 filter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trip_distance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3,166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Retained: valid when PU zone = DO zone</w:t>
            </w:r>
          </w:p>
        </w:tc>
      </w:tr>
    </w:tbl>
    <w:p>
      <w:pPr>
        <w:spacing w:before="0" w:after="120"/>
        <w:ind w:left="360"/>
      </w:pPr>
      <w:r>
        <w:rPr>
          <w:b/>
        </w:rPr>
        <w:t xml:space="preserve">df_fin created: </w:t>
      </w:r>
      <w:r>
        <w:t xml:space="preserve">256,557 rows after filtering fare_amount &gt; 0 AND total_amount &gt; 0. Used for all revenue analysis.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monthly revenue trends</w:t>
      </w:r>
    </w:p>
    <w:p>
      <w:pPr>
        <w:spacing w:before="0" w:after="120"/>
        <w:ind w:left="360"/>
      </w:pPr>
      <w:r>
        <w:t xml:space="preserve">Monthly total_amount aggregated from df_fin. Revenue closely tracks trip volume. Q2 (Apr–Jun) and Q4 (Oct–Dec) perform strongest. Mean fare: $19.73 | Mean total: $28.85 | Mean distance: 3.44 miles.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943600" cy="2343785"/>
            <wp:effectExtent l="0" t="0" r="0" b="0"/>
            <wp:docPr id="1007" name="Figure 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" name="fig04_monthly_revenue.png"/>
                    <pic:cNvPicPr/>
                  </pic:nvPicPr>
                  <pic:blipFill>
                    <a:blip xmlns:r="http://schemas.openxmlformats.org/officeDocument/2006/relationships" r:embed="rFig0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4: </w:t>
      </w:r>
      <w:r>
        <w:rPr>
          <w:i/>
          <w:sz w:val="20"/>
          <w:szCs w:val="20"/>
        </w:rPr>
        <w:t>Monthly Revenue (Total Amount, $) – Q2 and Q4 are peak revenue quarters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proportion of each quarter's revenue in the yearly revenue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7: </w:t>
      </w:r>
      <w:r>
        <w:t>Quarterly Revenue Share (% of Annual Total)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1200"/>
        <w:gridCol w:w="1600"/>
        <w:gridCol w:w="2000"/>
        <w:gridCol w:w="3700"/>
      </w:tblGrid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Quarter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Months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Revenue Share (%)</w:t>
            </w:r>
          </w:p>
        </w:tc>
        <w:tc>
          <w:tcPr>
            <w:tcW w:w="3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Interpretation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Q1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Jan–Mar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23.7%</w:t>
            </w:r>
          </w:p>
        </w:tc>
        <w:tc>
          <w:tcPr>
            <w:tcW w:w="3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Below average – winter slowdown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Q2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Apr–Jun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26.8%</w:t>
            </w:r>
          </w:p>
        </w:tc>
        <w:tc>
          <w:tcPr>
            <w:tcW w:w="3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Highest – spring/early summer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Q3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Jul–Sep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22.7%</w:t>
            </w:r>
          </w:p>
        </w:tc>
        <w:tc>
          <w:tcPr>
            <w:tcW w:w="3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Lowest – summer holidays dip</w:t>
            </w:r>
          </w:p>
        </w:tc>
      </w:tr>
      <w:tr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Q4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Oct–Dec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26.7%</w:t>
            </w:r>
          </w:p>
        </w:tc>
        <w:tc>
          <w:tcPr>
            <w:tcW w:w="3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Strong – holiday season</w:t>
            </w:r>
          </w:p>
        </w:tc>
      </w:tr>
    </w:tbl>
    <w:p>
      <w:pPr>
        <w:spacing w:after="80"/>
      </w:pP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3657600" cy="3828668"/>
            <wp:effectExtent l="0" t="0" r="0" b="0"/>
            <wp:docPr id="1009" name="Figure 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" name="fig05_quarterly_revenue.png"/>
                    <pic:cNvPicPr/>
                  </pic:nvPicPr>
                  <pic:blipFill>
                    <a:blip xmlns:r="http://schemas.openxmlformats.org/officeDocument/2006/relationships" r:embed="rFig0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828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5: </w:t>
      </w:r>
      <w:r>
        <w:rPr>
          <w:i/>
          <w:sz w:val="20"/>
          <w:szCs w:val="20"/>
        </w:rPr>
        <w:t>Revenue Share by Quarter – Q2 and Q4 together contribute 53.5% of annual revenue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and visualise the relationship between distance and fare amount</w:t>
      </w:r>
    </w:p>
    <w:p>
      <w:pPr>
        <w:spacing w:before="0" w:after="120"/>
        <w:ind w:left="360"/>
      </w:pPr>
      <w:r>
        <w:rPr>
          <w:b/>
        </w:rPr>
        <w:t xml:space="preserve">Pearson r = 0.943 </w:t>
      </w:r>
      <w:r>
        <w:t xml:space="preserve">– strongest predictor of fare in the dataset. The near-linear relationship confirms NYC's metered fare structure (charge per mile driven). Only airport flat-rate trips (RatecodeID=2 or 3) deviate from the linear trend.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3123330"/>
            <wp:effectExtent l="0" t="0" r="0" b="0"/>
            <wp:docPr id="1011" name="Figure 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" name="fig06_fare_vs_distance.png"/>
                    <pic:cNvPicPr/>
                  </pic:nvPicPr>
                  <pic:blipFill>
                    <a:blip xmlns:r="http://schemas.openxmlformats.org/officeDocument/2006/relationships" r:embed="rFig0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12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6: </w:t>
      </w:r>
      <w:r>
        <w:rPr>
          <w:i/>
          <w:sz w:val="20"/>
          <w:szCs w:val="20"/>
        </w:rPr>
        <w:t>Fare Amount vs Trip Distance – Very strong linear relationship (r = 0.943)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relationship between fare/tips and trips/passengers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8: </w:t>
      </w:r>
      <w:r>
        <w:t>Correlation Summary – Fare and Tip vs Trip Attributes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3000"/>
        <w:gridCol w:w="1200"/>
        <w:gridCol w:w="4300"/>
      </w:tblGrid>
      <w:tr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Variable Pair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Pearson r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Interpretation</w:t>
            </w:r>
          </w:p>
        </w:tc>
      </w:tr>
      <w:tr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fare_amount vs trip_distance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0.943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Very strong – distance drives fare (metered pricing)</w:t>
            </w:r>
          </w:p>
        </w:tc>
      </w:tr>
      <w:tr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fare_amount vs trip_duration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0.266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Moderate – time contributes but is secondary</w:t>
            </w:r>
          </w:p>
        </w:tc>
      </w:tr>
      <w:tr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fare_amount vs passenger_count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0.045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Near zero – per-ride not per-person pricing</w:t>
            </w:r>
          </w:p>
        </w:tc>
      </w:tr>
      <w:tr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tip_amount vs trip_distance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0.588</w:t>
            </w:r>
          </w:p>
        </w:tc>
        <w:tc>
          <w:tcPr>
            <w:tcW w:w="4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Moderate-strong – longer trips get higher dollar tips</w:t>
            </w:r>
          </w:p>
        </w:tc>
      </w:tr>
    </w:tbl>
    <w:p>
      <w:pPr>
        <w:spacing w:after="80"/>
      </w:pP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3119377"/>
            <wp:effectExtent l="0" t="0" r="0" b="0"/>
            <wp:docPr id="1013" name="Figure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" name="fig07_fare_vs_duration.png"/>
                    <pic:cNvPicPr/>
                  </pic:nvPicPr>
                  <pic:blipFill>
                    <a:blip xmlns:r="http://schemas.openxmlformats.org/officeDocument/2006/relationships" r:embed="rFig0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11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7: </w:t>
      </w:r>
      <w:r>
        <w:rPr>
          <w:i/>
          <w:sz w:val="20"/>
          <w:szCs w:val="20"/>
        </w:rPr>
        <w:t>Fare Amount vs Trip Duration (r = 0.266) – Moderate positive correlation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2482769"/>
            <wp:effectExtent l="0" t="0" r="0" b="0"/>
            <wp:docPr id="1015" name="Figure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" name="fig08_fare_by_pax.png"/>
                    <pic:cNvPicPr/>
                  </pic:nvPicPr>
                  <pic:blipFill>
                    <a:blip xmlns:r="http://schemas.openxmlformats.org/officeDocument/2006/relationships" r:embed="rFig0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8: </w:t>
      </w:r>
      <w:r>
        <w:rPr>
          <w:i/>
          <w:sz w:val="20"/>
          <w:szCs w:val="20"/>
        </w:rPr>
        <w:t>Average Fare by Passenger Count – Fare does not scale with passengers (r = 0.045)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3123330"/>
            <wp:effectExtent l="0" t="0" r="0" b="0"/>
            <wp:docPr id="1017" name="Figure 1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" name="fig09_tip_vs_distance.png"/>
                    <pic:cNvPicPr/>
                  </pic:nvPicPr>
                  <pic:blipFill>
                    <a:blip xmlns:r="http://schemas.openxmlformats.org/officeDocument/2006/relationships" r:embed="rFig0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12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9: </w:t>
      </w:r>
      <w:r>
        <w:rPr>
          <w:i/>
          <w:sz w:val="20"/>
          <w:szCs w:val="20"/>
        </w:rPr>
        <w:t>Tip Amount vs Trip Distance (r = 0.588) – Longer trips yield higher absolute tips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distribution of different payment types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9: </w:t>
      </w:r>
      <w:r>
        <w:t>Payment Type Distribution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900"/>
        <w:gridCol w:w="1700"/>
        <w:gridCol w:w="1700"/>
        <w:gridCol w:w="1500"/>
        <w:gridCol w:w="2700"/>
      </w:tblGrid>
      <w:tr>
        <w:tc>
          <w:tcPr>
            <w:tcW w:w="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Code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Type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Trip Count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Share (%)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Tip Recorded?</w:t>
            </w:r>
          </w:p>
        </w:tc>
      </w:tr>
      <w:tr>
        <w:tc>
          <w:tcPr>
            <w:tcW w:w="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Credit Card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~172,000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~67%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Yes</w:t>
            </w:r>
          </w:p>
        </w:tc>
      </w:tr>
      <w:tr>
        <w:tc>
          <w:tcPr>
            <w:tcW w:w="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Cash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~77,000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~30%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w="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 Charge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~5,100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~2%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</w:t>
            </w:r>
          </w:p>
        </w:tc>
      </w:tr>
      <w:tr>
        <w:tc>
          <w:tcPr>
            <w:tcW w:w="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Dispute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~2,600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&lt;1%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No</w:t>
            </w:r>
          </w:p>
        </w:tc>
      </w:tr>
    </w:tbl>
    <w:p>
      <w:pPr>
        <w:spacing w:after="80"/>
      </w:pP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3840480" cy="3511722"/>
            <wp:effectExtent l="0" t="0" r="0" b="0"/>
            <wp:docPr id="1019" name="Figure 1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" name="fig10_payment_types.png"/>
                    <pic:cNvPicPr/>
                  </pic:nvPicPr>
                  <pic:blipFill>
                    <a:blip xmlns:r="http://schemas.openxmlformats.org/officeDocument/2006/relationships" r:embed="rFig10"/>
                    <a:stretch>
                      <a:fillRect/>
                    </a:stretch>
                  </pic:blipFill>
                  <pic:spPr>
                    <a:xfrm>
                      <a:off x="0" y="0"/>
                      <a:ext cx="3840480" cy="3511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10: </w:t>
      </w:r>
      <w:r>
        <w:rPr>
          <w:i/>
          <w:sz w:val="20"/>
          <w:szCs w:val="20"/>
        </w:rPr>
        <w:t>Distribution of Payment Types – Credit card dominant at ~67%; cash ~30%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Load the taxi zones shapefile and display it</w:t>
      </w:r>
    </w:p>
    <w:p>
      <w:pPr>
        <w:spacing w:before="0" w:after="120"/>
        <w:ind w:left="360"/>
      </w:pPr>
      <w:r>
        <w:t xml:space="preserve">The NYC taxi zones shapefile (taxi_zones.shp) loaded via gpd.read_file(). GeoDataFrame contains 263 zones with LocationID, zone name, borough, and geometry columns.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4114800" cy="3768290"/>
            <wp:effectExtent l="0" t="0" r="0" b="0"/>
            <wp:docPr id="1021" name="Figure 1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" name="fig11_shapefile_base.png"/>
                    <pic:cNvPicPr/>
                  </pic:nvPicPr>
                  <pic:blipFill>
                    <a:blip xmlns:r="http://schemas.openxmlformats.org/officeDocument/2006/relationships" r:embed="rFig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76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11: </w:t>
      </w:r>
      <w:r>
        <w:rPr>
          <w:i/>
          <w:sz w:val="20"/>
          <w:szCs w:val="20"/>
        </w:rPr>
        <w:t>NYC Taxi Zones Shapefile – 263 Zones Across 5 Boroughs (Manhattan, Queens, Brooklyn, Bronx, Staten Island)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Merge the zone data with trips data</w:t>
      </w:r>
    </w:p>
    <w:p>
      <w:pPr>
        <w:spacing w:before="0" w:after="120"/>
        <w:ind w:left="360"/>
      </w:pPr>
      <w:r>
        <w:t xml:space="preserve">Left join on PULocationID = LocationID enriched each trip record with pickup zone name and borough. Result: df_with_zone DataFrame enabling geographical analysis by zone name.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number of trips for each zone/location ID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10: </w:t>
      </w:r>
      <w:r>
        <w:t>Top 10 Pickup Zones by Trip Count</w:t>
      </w:r>
    </w:p>
    <w:tbl>
      <w:tblPr>
        <w:tblW w:w="7900" w:type="dxa"/>
        <w:tblBorders>
          <w:insideH w:val="single" w:sz="4" w:color="AAAAAA"/>
          <w:insideV w:val="single" w:sz="4" w:color="AAAAAA"/>
        </w:tblBorders>
      </w:tblPr>
      <w:tblGrid>
        <w:gridCol w:w="700"/>
        <w:gridCol w:w="1200"/>
        <w:gridCol w:w="2700"/>
        <w:gridCol w:w="1500"/>
        <w:gridCol w:w="1800"/>
      </w:tblGrid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Rank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LocationID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Zone Name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Borough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Trip Count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132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JFK Airport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Queens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13,591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237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Upper East Side South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12,123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161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Midtown Center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12,036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236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Upper East Side North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10,803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162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Midtown East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9,289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138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LaGuardia Airport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Queens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8,970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186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Penn Station/Madison Sq West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8,752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230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Times Sq/Theatre District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8,572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142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Lincoln Square East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8,362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170</w:t>
            </w:r>
          </w:p>
        </w:tc>
        <w:tc>
          <w:tcPr>
            <w:tcW w:w="2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Murray Hill</w:t>
            </w:r>
          </w:p>
        </w:tc>
        <w:tc>
          <w:tcPr>
            <w:tcW w:w="1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7,571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Add the number of trips for each zone to the zones dataframe</w:t>
      </w:r>
    </w:p>
    <w:p>
      <w:pPr>
        <w:spacing w:before="0" w:after="120"/>
        <w:ind w:left="360"/>
      </w:pPr>
      <w:r>
        <w:t xml:space="preserve">Trip counts merged back into GeoDataFrame via left join on LocationID. Zones with no trips filled with 0, producing zones_with_trips ready for choropleth mapping.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Plot a map of the zones showing number of trips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486400" cy="4378968"/>
            <wp:effectExtent l="0" t="0" r="0" b="0"/>
            <wp:docPr id="1023" name="Figure 1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fig12_choropleth.png"/>
                    <pic:cNvPicPr/>
                  </pic:nvPicPr>
                  <pic:blipFill>
                    <a:blip xmlns:r="http://schemas.openxmlformats.org/officeDocument/2006/relationships" r:embed="rFig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37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12: </w:t>
      </w:r>
      <w:r>
        <w:rPr>
          <w:i/>
          <w:sz w:val="20"/>
          <w:szCs w:val="20"/>
        </w:rPr>
        <w:t>Zone-wise Pickup Trip Counts – Choropleth Map. Manhattan Midtown and JFK Airport (Queens) dominate pickups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Conclude with results</w:t>
      </w:r>
    </w:p>
    <w:p>
      <w:pPr>
        <w:spacing w:before="0" w:after="120"/>
        <w:ind w:left="360"/>
      </w:pPr>
      <w:r>
        <w:t xml:space="preserve">General EDA Summary: Demand is strongly time- and location-dependent. Peak is 15:00–19:00; trough is 3–5 AM. Q2 and Q4 drive the most revenue. Fare is best predicted by distance (r = 0.943). JFK, Midtown, and Upper East Side dominate pickups. Credit card accounts for ~67% of payments.</w:t>
      </w:r>
    </w:p>
    <w:p>
      <w:pPr>
        <w:pStyle w:val="Heading3"/>
        <w:numPr>
          <w:ilvl w:val="1"/>
          <w:numId w:val="1"/>
        </w:numPr>
      </w:pPr>
      <w:r>
        <w:t>Detailed EDA: Insights and Strategies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Identify slow routes by comparing average speeds on different routes</w:t>
      </w:r>
    </w:p>
    <w:p>
      <w:pPr>
        <w:spacing w:before="0" w:after="120"/>
        <w:ind w:left="360"/>
      </w:pPr>
      <w:r>
        <w:rPr>
          <w:b/>
        </w:rPr>
        <w:t xml:space="preserve">Method: </w:t>
      </w:r>
      <w:r>
        <w:t xml:space="preserve">Speed = trip_distance / trip_duration_hours per trip. Routes defined as PULocationID–DOLocationID pairs, grouped by pickup_hour. Slowest route per hour extracted.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11: </w:t>
      </w:r>
      <w:r>
        <w:t>Slowest Routes by Hour (Sample – Hours 0–9)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1800"/>
        <w:gridCol w:w="2200"/>
        <w:gridCol w:w="2200"/>
        <w:gridCol w:w="2300"/>
      </w:tblGrid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Pickup Hour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Route (PU–DO)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Speed (mph)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Trip Distance (mi)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 (12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88–144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0.07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1.78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 (1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142–142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0.76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0.02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 (2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229–137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0.08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1.94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 (3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148–238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0.25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6.04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 (4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230–51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0.72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16.96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 (5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230–230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0.37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0.18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 (6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185–168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0.83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0.30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 (7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128–128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0.12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0.02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 (8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50–43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0.06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1.42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 (9 AM)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142–232</w:t>
            </w:r>
          </w:p>
        </w:tc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0.29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6.71</w:t>
            </w:r>
          </w:p>
        </w:tc>
      </w:tr>
    </w:tbl>
    <w:p>
      <w:pPr>
        <w:spacing w:before="0" w:after="120"/>
        <w:ind w:left="360"/>
      </w:pPr>
      <w:r>
        <w:rPr>
          <w:b/>
        </w:rPr>
        <w:t xml:space="preserve">Inference: </w:t>
      </w:r>
      <w:r>
        <w:t xml:space="preserve">Identifies routes for real-time rerouting, ETA estimation, and congestion-hour capacity planning.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Calculate the hourly number of trips and identify the busy hours</w:t>
      </w:r>
    </w:p>
    <w:p>
      <w:pPr>
        <w:spacing w:before="0" w:after="120"/>
        <w:ind w:left="360"/>
      </w:pPr>
      <w:r>
        <w:rPr>
          <w:b/>
        </w:rPr>
        <w:t xml:space="preserve">Busiest hour: </w:t>
      </w:r>
      <w:r>
        <w:t xml:space="preserve">18:00 with 18,080 sampled trips. All top 5 hours fall within 15:00–19:00.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6400800" cy="2099505"/>
            <wp:effectExtent l="0" t="0" r="0" b="0"/>
            <wp:docPr id="1025" name="Figure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fig13_trips_per_hour.png"/>
                    <pic:cNvPicPr/>
                  </pic:nvPicPr>
                  <pic:blipFill>
                    <a:blip xmlns:r="http://schemas.openxmlformats.org/officeDocument/2006/relationships" r:embed="rFig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0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13: </w:t>
      </w:r>
      <w:r>
        <w:rPr>
          <w:i/>
          <w:sz w:val="20"/>
          <w:szCs w:val="20"/>
        </w:rPr>
        <w:t>Number of Trips per Hour – Evening peak at 18:00; lowest at 3–5 AM with ~1,400 trips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Scale up the number of trips from above to find the actual number of trips</w:t>
      </w:r>
    </w:p>
    <w:p>
      <w:pPr>
        <w:spacing w:before="0" w:after="120"/>
        <w:ind w:left="360"/>
      </w:pPr>
      <w:r>
        <w:t xml:space="preserve">Sampled counts divided by sampling fraction (0.007) to estimate actual annual trip volumes.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12: </w:t>
      </w:r>
      <w:r>
        <w:t>Top 5 Busiest Hours – Estimated Actual Annual Trips (Scaled from 0.7% Sample)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700"/>
        <w:gridCol w:w="1800"/>
        <w:gridCol w:w="2000"/>
        <w:gridCol w:w="4000"/>
      </w:tblGrid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Rank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Hour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Sampled Trips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Estimated Actual Annual Trips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18:00 (6 PM)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18,080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2,582,857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17:00 (5 PM)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17,309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2,472,714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19:00 (7 PM)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16,232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2,318,857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15:00 (3 PM)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16,036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2,290,857</w:t>
            </w:r>
          </w:p>
        </w:tc>
      </w:tr>
      <w:tr>
        <w:tc>
          <w:tcPr>
            <w:tcW w:w="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16:00 (4 PM)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16,005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2,286,429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Compare hourly traffic on weekdays and weekends</w:t>
      </w:r>
    </w:p>
    <w:p>
      <w:pPr>
        <w:spacing w:before="0" w:after="120"/>
        <w:ind w:left="360"/>
      </w:pPr>
      <w:r>
        <w:rPr>
          <w:b/>
        </w:rPr>
        <w:t xml:space="preserve">Weekday: </w:t>
      </w:r>
      <w:r>
        <w:t xml:space="preserve">Bimodal – morning peak 7–9 AM + stronger evening peak 17–19. Minimum at 4 AM.</w:t>
      </w:r>
    </w:p>
    <w:p>
      <w:pPr>
        <w:spacing w:before="0" w:after="120"/>
        <w:ind w:left="360"/>
      </w:pPr>
      <w:r>
        <w:rPr>
          <w:b/>
        </w:rPr>
        <w:t xml:space="preserve">Weekend: </w:t>
      </w:r>
      <w:r>
        <w:t xml:space="preserve">Flatter, unimodal – peak 20:00–22:00; no morning commute spike. Demand drops more gradually.</w:t>
      </w:r>
    </w:p>
    <w:p>
      <w:pPr>
        <w:spacing w:before="0" w:after="120"/>
        <w:ind w:left="360"/>
      </w:pPr>
      <w:r>
        <w:rPr>
          <w:b/>
        </w:rPr>
        <w:t xml:space="preserve">Inference: </w:t>
      </w:r>
      <w:r>
        <w:t xml:space="preserve">Weekdays need commute-hour fleet surge; weekends need late-night nightlife zone coverage.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6400800" cy="2099505"/>
            <wp:effectExtent l="0" t="0" r="0" b="0"/>
            <wp:docPr id="1027" name="Figure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fig14_weekday_vs_weekend.png"/>
                    <pic:cNvPicPr/>
                  </pic:nvPicPr>
                  <pic:blipFill>
                    <a:blip xmlns:r="http://schemas.openxmlformats.org/officeDocument/2006/relationships" r:embed="rFig1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0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14: </w:t>
      </w:r>
      <w:r>
        <w:rPr>
          <w:i/>
          <w:sz w:val="20"/>
          <w:szCs w:val="20"/>
        </w:rPr>
        <w:t>Hourly Traffic: Weekday vs Weekend – Fundamentally different demand patterns require separate dispatch strategies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Identify the top 10 zones with high hourly pickups and drops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2489071"/>
            <wp:effectExtent l="0" t="0" r="0" b="0"/>
            <wp:docPr id="1029" name="Figur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fig15_top10_pickup.png"/>
                    <pic:cNvPicPr/>
                  </pic:nvPicPr>
                  <pic:blipFill>
                    <a:blip xmlns:r="http://schemas.openxmlformats.org/officeDocument/2006/relationships" r:embed="rFig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15: </w:t>
      </w:r>
      <w:r>
        <w:rPr>
          <w:i/>
          <w:sz w:val="20"/>
          <w:szCs w:val="20"/>
        </w:rPr>
        <w:t>Top 10 Pickup Zones – JFK Airport (132) leads with 13,591 trips; dominated by Manhattan zones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2485916"/>
            <wp:effectExtent l="0" t="0" r="0" b="0"/>
            <wp:docPr id="1031" name="Figure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fig16_top10_dropoff.png"/>
                    <pic:cNvPicPr/>
                  </pic:nvPicPr>
                  <pic:blipFill>
                    <a:blip xmlns:r="http://schemas.openxmlformats.org/officeDocument/2006/relationships" r:embed="rFig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5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16: </w:t>
      </w:r>
      <w:r>
        <w:rPr>
          <w:i/>
          <w:sz w:val="20"/>
          <w:szCs w:val="20"/>
        </w:rPr>
        <w:t>Top 10 Dropoff Zones – Upper East Side North (236) leads with 11,480 trips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ratio of pickups and dropoffs in each zone</w:t>
      </w:r>
    </w:p>
    <w:p>
      <w:pPr>
        <w:spacing w:before="0" w:after="120"/>
        <w:ind w:left="360"/>
      </w:pPr>
      <w:r>
        <w:t xml:space="preserve">Ratio &gt; 1 = net pickup surplus (demand exceeds supply). Ratio &lt; 1 = dropoff-heavy zone (cabs accumulate).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13: </w:t>
      </w:r>
      <w:r>
        <w:t>Top 10 Pickup/Dropoff Ratios (Highest and Lowest)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200"/>
        <w:gridCol w:w="1600"/>
        <w:gridCol w:w="4700"/>
      </w:tblGrid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LocationID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PU/DO Ratio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Implication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70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8.09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Extreme pickup surplus – pre-position cabs here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132 (JFK)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4.71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Strong origin zone – flight arrivals drive demand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138 (LGA)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2.90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Airport origin – consistent pickup demand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186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1.51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Moderate surplus – Penn Station area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43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1.39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Slight surplus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227 (lowest)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0.028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Dropoff-heavy – cabs idle, need repositioning incentive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257 (2nd lowest)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0.036</w:t>
            </w:r>
          </w:p>
        </w:tc>
        <w:tc>
          <w:tcPr>
            <w:tcW w:w="4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Dropoff-heavy – strong repositioning needed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Identify the top zones with high traffic during night hours</w:t>
      </w:r>
    </w:p>
    <w:p>
      <w:pPr>
        <w:spacing w:before="0" w:after="120"/>
        <w:ind w:left="360"/>
      </w:pPr>
      <w:r>
        <w:t xml:space="preserve">Night hours defined as 11 PM to 5 AM (hours 23, 0–5). Night zones differ significantly from daytime top 10.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14: </w:t>
      </w:r>
      <w:r>
        <w:t>Top 10 Night Pickup and Dropoff Zones (11 PM – 5 AM)</w:t>
      </w:r>
    </w:p>
    <w:tbl>
      <w:tblPr>
        <w:tblW w:w="7800" w:type="dxa"/>
        <w:tblBorders>
          <w:insideH w:val="single" w:sz="4" w:color="AAAAAA"/>
          <w:insideV w:val="single" w:sz="4" w:color="AAAAAA"/>
        </w:tblBorders>
      </w:tblPr>
      <w:tblGrid>
        <w:gridCol w:w="600"/>
        <w:gridCol w:w="2500"/>
        <w:gridCol w:w="1100"/>
        <w:gridCol w:w="2500"/>
        <w:gridCol w:w="1100"/>
      </w:tblGrid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Rank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Night Pickup Zone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Pickups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Night Dropoff Zone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Dropoffs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79 (East Village)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2,192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79 (East Village)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1,176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132 (JFK Airport)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2,030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48 (Clinton Hill)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981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249 (West Village)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1,777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170 (Murray Hill)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877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48 (Clinton Hill)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1,441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68 (Crown Heights N)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838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148 (Lower East Side)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1,376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107 (Greenpoint)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829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230 (Times Square)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1,210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141 (Lenox Hill East)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749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114 (Gramercy)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1,183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263 (Yorkville West)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722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186 (Penn Station)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975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249 (West Village)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670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138 (LGA)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884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236 (Upper East Side N)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645</w:t>
            </w:r>
          </w:p>
        </w:tc>
      </w:tr>
      <w:tr>
        <w:tc>
          <w:tcPr>
            <w:tcW w:w="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164 (Midtown South)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851</w:t>
            </w:r>
          </w:p>
        </w:tc>
        <w:tc>
          <w:tcPr>
            <w:tcW w:w="25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90 (Flatbush/Ditmas)</w:t>
            </w:r>
          </w:p>
        </w:tc>
        <w:tc>
          <w:tcPr>
            <w:tcW w:w="1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637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revenue share for nighttime and daytime hours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15: </w:t>
      </w:r>
      <w:r>
        <w:t>Night vs Day Revenue Share</w:t>
      </w:r>
    </w:p>
    <w:tbl>
      <w:tblPr>
        <w:tblW w:w="9500" w:type="dxa"/>
        <w:tblBorders>
          <w:insideH w:val="single" w:sz="4" w:color="AAAAAA"/>
          <w:insideV w:val="single" w:sz="4" w:color="AAAAAA"/>
        </w:tblBorders>
      </w:tblPr>
      <w:tblGrid>
        <w:gridCol w:w="2400"/>
        <w:gridCol w:w="1600"/>
        <w:gridCol w:w="1600"/>
        <w:gridCol w:w="1600"/>
        <w:gridCol w:w="2300"/>
      </w:tblGrid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Period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Hours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Time Coverage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Revenue Share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Revenue/Hour Index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Night (11 PM – 5 AM)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Hours 23, 0–5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29% of day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12.2%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0.42 (under-indexed)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Day (5 AM – 11 PM)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Hours 5–22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71% of day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87.8%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1.24 (over-indexed)</w:t>
            </w:r>
          </w:p>
        </w:tc>
      </w:tr>
    </w:tbl>
    <w:p>
      <w:pPr>
        <w:spacing w:before="0" w:after="120"/>
        <w:ind w:left="360"/>
      </w:pPr>
      <w:r>
        <w:rPr>
          <w:b/>
        </w:rPr>
        <w:t xml:space="preserve">Insight: </w:t>
      </w:r>
      <w:r>
        <w:t xml:space="preserve">Night covers 29% of the day but generates only 12.2% of revenue. Significant under-monetisation – opportunity for night-surge pricing or driver incentives.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For the different passenger counts, find the average fare per mile per passenger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16: </w:t>
      </w:r>
      <w:r>
        <w:t>Average Fare per Mile per Passenger by Passenger Count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000"/>
        <w:gridCol w:w="2000"/>
        <w:gridCol w:w="1700"/>
        <w:gridCol w:w="2800"/>
      </w:tblGrid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Passenger Count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Fare/Mile/Passenger ($)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Trip Count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Insight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$10.73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194,877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Highest rate – fare not shared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$6.19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38,283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Shareable rate – 42% cheaper per person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$4.33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9,521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Very economical per person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$5.18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5,230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Slight uptick (likely longer trips)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5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$1.57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3,289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Lowest – mostly group/event trips</w:t>
            </w:r>
          </w:p>
        </w:tc>
      </w:tr>
      <w:tr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$1.29</w:t>
            </w:r>
          </w:p>
        </w:tc>
        <w:tc>
          <w:tcPr>
            <w:tcW w:w="17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2,222</w:t>
            </w:r>
          </w:p>
        </w:tc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Lowest – max-capacity group trips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Find the average fare per mile by hours of the day and by days of the week</w:t>
      </w:r>
    </w:p>
    <w:p>
      <w:pPr>
        <w:spacing w:before="0" w:after="120"/>
        <w:ind w:left="360"/>
      </w:pPr>
      <w:r>
        <w:rPr>
          <w:b/>
        </w:rPr>
        <w:t xml:space="preserve">Hourly: </w:t>
      </w:r>
      <w:r>
        <w:t xml:space="preserve">Early morning (0–5 AM) shows highest fare/mile due to longer airport runs and overnight surcharge. Midday lowest due to shorter urban trips.</w:t>
      </w:r>
    </w:p>
    <w:p>
      <w:pPr>
        <w:spacing w:before="0" w:after="120"/>
        <w:ind w:left="360"/>
      </w:pPr>
      <w:r>
        <w:rPr>
          <w:b/>
        </w:rPr>
        <w:t xml:space="preserve">Day of week: </w:t>
      </w:r>
      <w:r>
        <w:t xml:space="preserve">Thursday shows highest fare/mile (~$13.20). Weekday rates more consistent; weekends more variable due to trip-mix differences.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6858000" cy="1925572"/>
            <wp:effectExtent l="0" t="0" r="0" b="0"/>
            <wp:docPr id="1033" name="Figure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fig17_fare_per_mile_day.png"/>
                    <pic:cNvPicPr/>
                  </pic:nvPicPr>
                  <pic:blipFill>
                    <a:blip xmlns:r="http://schemas.openxmlformats.org/officeDocument/2006/relationships" r:embed="rFig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25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17: </w:t>
      </w:r>
      <w:r>
        <w:rPr>
          <w:i/>
          <w:sz w:val="20"/>
          <w:szCs w:val="20"/>
        </w:rPr>
        <w:t>Average Fare per Mile by Day of Week (left) and Hour of Day (right) – early-morning spikes driven by airport runs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average fare per mile for the different vendors</w:t>
      </w:r>
    </w:p>
    <w:p>
      <w:pPr>
        <w:spacing w:before="0" w:after="120"/>
        <w:ind w:left="360"/>
      </w:pPr>
      <w:r>
        <w:rPr>
          <w:b/>
        </w:rPr>
        <w:t xml:space="preserve">Vendor 2 (VeriFone) consistently charges more per mile </w:t>
      </w:r>
      <w:r>
        <w:t xml:space="preserve">than Vendor 1 (Creative Mobile Technologies), especially at early-morning and night hours. The gap is most pronounced for short trips. Both vendors converge on long-haul trips.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6400800" cy="2099505"/>
            <wp:effectExtent l="0" t="0" r="0" b="0"/>
            <wp:docPr id="1035" name="Figure 1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fig18_fare_per_mile_vendor.png"/>
                    <pic:cNvPicPr/>
                  </pic:nvPicPr>
                  <pic:blipFill>
                    <a:blip xmlns:r="http://schemas.openxmlformats.org/officeDocument/2006/relationships" r:embed="rFig18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09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18: </w:t>
      </w:r>
      <w:r>
        <w:rPr>
          <w:i/>
          <w:sz w:val="20"/>
          <w:szCs w:val="20"/>
        </w:rPr>
        <w:t>Average Fare per Mile by Hour – Vendor 1 vs Vendor 2 (Vendor 2 premium is largest at night and early morning)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Compare the fare rates of different vendors in a distance-tiered fashion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17: </w:t>
      </w:r>
      <w:r>
        <w:t>Vendor Fare Comparison by Distance Tier</w:t>
      </w:r>
    </w:p>
    <w:tbl>
      <w:tblPr>
        <w:tblW w:w="9600" w:type="dxa"/>
        <w:tblBorders>
          <w:insideH w:val="single" w:sz="4" w:color="AAAAAA"/>
          <w:insideV w:val="single" w:sz="4" w:color="AAAAAA"/>
        </w:tblBorders>
      </w:tblPr>
      <w:tblGrid>
        <w:gridCol w:w="1800"/>
        <w:gridCol w:w="1600"/>
        <w:gridCol w:w="1600"/>
        <w:gridCol w:w="1600"/>
        <w:gridCol w:w="3000"/>
      </w:tblGrid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Distance Tier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Vendor 1 ($/mile)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Vendor 2 ($/mile)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V2 Premium (%)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Competitive Impact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Short (0–2 mi)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$9.76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$17.80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+82%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Major – most trips are short urban rides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Medium (2–5 mi)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$6.38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$6.54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+2.5%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Minimal – near parity</w:t>
            </w:r>
          </w:p>
        </w:tc>
      </w:tr>
      <w:tr>
        <w:tc>
          <w:tcPr>
            <w:tcW w:w="1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Long (5+ mi)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$4.41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$4.50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+2.0%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Minimal – near parity</w:t>
            </w:r>
          </w:p>
        </w:tc>
      </w:tr>
    </w:tbl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2482769"/>
            <wp:effectExtent l="0" t="0" r="0" b="0"/>
            <wp:docPr id="1037" name="Figure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fig19_vendor_distance_tier.png"/>
                    <pic:cNvPicPr/>
                  </pic:nvPicPr>
                  <pic:blipFill>
                    <a:blip xmlns:r="http://schemas.openxmlformats.org/officeDocument/2006/relationships" r:embed="rFig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19: </w:t>
      </w:r>
      <w:r>
        <w:rPr>
          <w:i/>
          <w:sz w:val="20"/>
          <w:szCs w:val="20"/>
        </w:rPr>
        <w:t>Average Fare per Mile by Distance Tier and Vendor – 82% Vendor 2 premium on short trips (0–2 mi)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tip percentages</w:t>
      </w:r>
    </w:p>
    <w:p>
      <w:pPr>
        <w:spacing w:before="0" w:after="120"/>
        <w:ind w:left="360"/>
      </w:pPr>
      <w:r>
        <w:t xml:space="preserve">Analysis restricted to credit card payments (~67% of trips) as cash tips are unrecorded.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18: </w:t>
      </w:r>
      <w:r>
        <w:t>Average Tip Percentage by Distance Category and Passenger Count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3400"/>
        <w:gridCol w:w="1200"/>
        <w:gridCol w:w="3900"/>
      </w:tblGrid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Category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Group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Tip (%)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Distance: Short (0–2 mi)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27.9%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Distance: Medium (2–5 mi)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22.2%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Distance: Long (5+ mi)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20.4%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1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25.2%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2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24.7%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3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24.3%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4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24.1%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5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25.3%</w:t>
            </w:r>
          </w:p>
        </w:tc>
      </w:tr>
      <w:tr>
        <w:tc>
          <w:tcPr>
            <w:tcW w:w="3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Passenger Count: 6</w:t>
            </w:r>
          </w:p>
        </w:tc>
        <w:tc>
          <w:tcPr>
            <w:tcW w:w="1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—</w:t>
            </w:r>
          </w:p>
        </w:tc>
        <w:tc>
          <w:tcPr>
            <w:tcW w:w="39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25.0%</w:t>
            </w:r>
          </w:p>
        </w:tc>
      </w:tr>
    </w:tbl>
    <w:p>
      <w:pPr>
        <w:spacing w:after="80"/>
      </w:pPr>
    </w:p>
    <w:p>
      <w:pPr>
        <w:spacing w:before="200" w:after="60"/>
      </w:pPr>
      <w:r>
        <w:rPr>
          <w:b/>
        </w:rPr>
        <w:t xml:space="preserve">Table 19: </w:t>
      </w:r>
      <w:r>
        <w:t>Low-Tip vs High-Tip Trip Comparison</w:t>
      </w:r>
    </w:p>
    <w:tbl>
      <w:tblPr>
        <w:tblW w:w="8000" w:type="dxa"/>
        <w:tblBorders>
          <w:insideH w:val="single" w:sz="4" w:color="AAAAAA"/>
          <w:insideV w:val="single" w:sz="4" w:color="AAAAAA"/>
        </w:tblBorders>
      </w:tblPr>
      <w:tblGrid>
        <w:gridCol w:w="2800"/>
        <w:gridCol w:w="1600"/>
        <w:gridCol w:w="2000"/>
        <w:gridCol w:w="1600"/>
      </w:tblGrid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Tip Segment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Fare ($)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Distance (mi)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Pax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Low Tip (&lt;10%)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$26.40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4.70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1.37</w:t>
            </w:r>
          </w:p>
        </w:tc>
      </w:tr>
      <w:tr>
        <w:tc>
          <w:tcPr>
            <w:tcW w:w="28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High Tip (&gt;25%)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$14.42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2.29</w:t>
            </w:r>
          </w:p>
        </w:tc>
        <w:tc>
          <w:tcPr>
            <w:tcW w:w="1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1.36</w:t>
            </w:r>
          </w:p>
        </w:tc>
      </w:tr>
    </w:tbl>
    <w:p>
      <w:pPr>
        <w:spacing w:after="80"/>
      </w:pP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4114800" cy="2965268"/>
            <wp:effectExtent l="0" t="0" r="0" b="0"/>
            <wp:docPr id="1039" name="Figure 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fig20_tip_pct_distance.png"/>
                    <pic:cNvPicPr/>
                  </pic:nvPicPr>
                  <pic:blipFill>
                    <a:blip xmlns:r="http://schemas.openxmlformats.org/officeDocument/2006/relationships" r:embed="rFig2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965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20: </w:t>
      </w:r>
      <w:r>
        <w:rPr>
          <w:i/>
          <w:sz w:val="20"/>
          <w:szCs w:val="20"/>
        </w:rPr>
        <w:t>Tip % by Trip Distance Category – Short trips receive highest tip % (27.9%); long trips lowest (20.4%)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trends in passenger count</w:t>
      </w:r>
    </w:p>
    <w:p>
      <w:pPr>
        <w:spacing w:before="0" w:after="120"/>
        <w:ind w:left="360"/>
      </w:pPr>
      <w:r>
        <w:t xml:space="preserve">Average passenger count is stable across hours (range 1.25–1.55), with a slight uptick at 1 AM and at 22–23 (group outings). Weekend days average marginally more passengers than weekdays.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943600" cy="2343785"/>
            <wp:effectExtent l="0" t="0" r="0" b="0"/>
            <wp:docPr id="1041" name="Figure 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fig21_pax_by_hour.png"/>
                    <pic:cNvPicPr/>
                  </pic:nvPicPr>
                  <pic:blipFill>
                    <a:blip xmlns:r="http://schemas.openxmlformats.org/officeDocument/2006/relationships" r:embed="rFig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21: </w:t>
      </w:r>
      <w:r>
        <w:rPr>
          <w:i/>
          <w:sz w:val="20"/>
          <w:szCs w:val="20"/>
        </w:rPr>
        <w:t>Average Passenger Count by Hour – Relatively stable ~1.3–1.5; slight uptick at 1 AM and late night</w:t>
      </w:r>
    </w:p>
    <w:p>
      <w:pPr>
        <w:spacing w:before="120" w:after="0"/>
        <w:jc w:val="center"/>
      </w:pPr>
      <w:r>
        <w:drawing>
          <wp:inline xmlns:wp="http://schemas.openxmlformats.org/drawingml/2006/wordprocessingDrawing" distT="0" distB="0" distL="0" distR="0">
            <wp:extent cx="5029200" cy="2482769"/>
            <wp:effectExtent l="0" t="0" r="0" b="0"/>
            <wp:docPr id="1043" name="Figure 1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fig22_pax_by_day.png"/>
                    <pic:cNvPicPr/>
                  </pic:nvPicPr>
                  <pic:blipFill>
                    <a:blip xmlns:r="http://schemas.openxmlformats.org/officeDocument/2006/relationships" r:embed="rFig2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48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60" w:after="200"/>
        <w:jc w:val="center"/>
      </w:pPr>
      <w:r>
        <w:rPr>
          <w:b/>
          <w:i/>
          <w:sz w:val="20"/>
          <w:szCs w:val="20"/>
        </w:rPr>
        <w:t xml:space="preserve">Figure 22: </w:t>
      </w:r>
      <w:r>
        <w:rPr>
          <w:i/>
          <w:sz w:val="20"/>
          <w:szCs w:val="20"/>
        </w:rPr>
        <w:t>Average Passenger Count by Day of Week – Weekends (Sat/Sun) average slightly higher than weekdays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variation of passenger counts across zones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20: </w:t>
      </w:r>
      <w:r>
        <w:t>Top Zones by Average Passenger Count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200"/>
        <w:gridCol w:w="2300"/>
        <w:gridCol w:w="4000"/>
      </w:tblGrid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LocationID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Avg Passenger Count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Interpretation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2.00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Consistent group travel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67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2.00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Group travel origin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154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2.00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Group travel origin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175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1.83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Above-average group travel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47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1.82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Above-average group travel</w:t>
            </w:r>
          </w:p>
        </w:tc>
      </w:tr>
      <w:tr>
        <w:tc>
          <w:tcPr>
            <w:tcW w:w="22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 (Newark Airport)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1.67</w:t>
            </w:r>
          </w:p>
        </w:tc>
        <w:tc>
          <w:tcPr>
            <w:tcW w:w="4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Airport – family/group arrivals</w:t>
            </w:r>
          </w:p>
        </w:tc>
      </w:tr>
    </w:tbl>
    <w:p>
      <w:pPr>
        <w:spacing w:before="0" w:after="120"/>
        <w:ind w:left="360"/>
      </w:pPr>
      <w:r>
        <w:rPr>
          <w:b/>
        </w:rPr>
        <w:t xml:space="preserve">Note: </w:t>
      </w:r>
      <w:r>
        <w:t xml:space="preserve">Overall dataset average is ~1.4 passengers/trip, confirming dominance of solo urban travel. Zones averaging 2.0 are good candidates for shared-ride pricing promotion.</w:t>
      </w:r>
    </w:p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Analyse the pickup/dropoff zones or times when extra charges are applied more frequently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21: </w:t>
      </w:r>
      <w:r>
        <w:t>Surcharge Application Frequency Across All Trips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600"/>
        <w:gridCol w:w="2300"/>
        <w:gridCol w:w="3600"/>
      </w:tblGrid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Surcharge Column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Applied in (%) of Trips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Notes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improvement_surcharge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100.0%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Mandatory on all metered rides ($0.30)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mta_tax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99.1%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Near-universal ($0.50 MTA levy)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congestion_surcharge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92.3%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Manhattan CBD trips ($2.50)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extra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61.9%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Night (8 PM–6 AM: $1.00) and rush hour ($1.00)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tolls_amount</w:t>
            </w:r>
          </w:p>
        </w:tc>
        <w:tc>
          <w:tcPr>
            <w:tcW w:w="23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8.1%</w:t>
            </w:r>
          </w:p>
        </w:tc>
        <w:tc>
          <w:tcPr>
            <w:tcW w:w="3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Bridge/tunnel trips only</w:t>
            </w:r>
          </w:p>
        </w:tc>
      </w:tr>
    </w:tbl>
    <w:p>
      <w:pPr>
        <w:spacing w:after="80"/>
      </w:pPr>
    </w:p>
    <w:p>
      <w:pPr>
        <w:spacing w:before="200" w:after="60"/>
      </w:pPr>
      <w:r>
        <w:rPr>
          <w:b/>
        </w:rPr>
        <w:t xml:space="preserve">Table 22: </w:t>
      </w:r>
      <w:r>
        <w:t>Extra Charge Application Rate by Time Period</w:t>
      </w:r>
    </w:p>
    <w:tbl>
      <w:tblPr>
        <w:tblW w:w="8500" w:type="dxa"/>
        <w:tblBorders>
          <w:insideH w:val="single" w:sz="4" w:color="AAAAAA"/>
          <w:insideV w:val="single" w:sz="4" w:color="AAAAAA"/>
        </w:tblBorders>
      </w:tblPr>
      <w:tblGrid>
        <w:gridCol w:w="2400"/>
        <w:gridCol w:w="2000"/>
        <w:gridCol w:w="4100"/>
      </w:tblGrid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Time Period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Hours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Extra Charge Applied (%)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Late Night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0–2 AM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~95–97%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Early Morning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3–5 AM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~90%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Morning Transition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6 AM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~32%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Daytime (midday)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9 AM – 3 PM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~30%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Evening Peak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3–7 PM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~31–33%</w:t>
            </w:r>
          </w:p>
        </w:tc>
      </w:tr>
      <w:tr>
        <w:tc>
          <w:tcPr>
            <w:tcW w:w="24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Evening/Night</w:t>
            </w:r>
          </w:p>
        </w:tc>
        <w:tc>
          <w:tcPr>
            <w:tcW w:w="2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8–11 PM</w:t>
            </w:r>
          </w:p>
        </w:tc>
        <w:tc>
          <w:tcPr>
            <w:tcW w:w="4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~40–70% (transitioning)</w:t>
            </w:r>
          </w:p>
        </w:tc>
      </w:tr>
    </w:tbl>
    <w:p>
      <w:pPr>
        <w:spacing w:after="80"/>
      </w:pPr>
    </w:p>
    <w:p>
      <w:pPr>
        <w:pStyle w:val="Heading2"/>
        <w:numPr>
          <w:ilvl w:val="0"/>
          <w:numId w:val="1"/>
        </w:numPr>
      </w:pPr>
      <w:r>
        <w:t>Conclusions</w:t>
      </w:r>
    </w:p>
    <w:p>
      <w:pPr>
        <w:pStyle w:val="Heading3"/>
        <w:numPr>
          <w:ilvl w:val="1"/>
          <w:numId w:val="1"/>
        </w:numPr>
      </w:pPr>
      <w:r>
        <w:t>Final Insights and Recommendations</w:t>
      </w:r>
    </w:p>
    <w:p>
      <w:pPr>
        <w:numPr>
          <w:ilvl w:val="2"/>
          <w:numId w:val="1"/>
        </w:numPr>
        <w:rPr>
          <w:b/>
        </w:rPr>
      </w:pPr>
      <w:r>
        <w:rPr>
          <w:b/>
        </w:rPr>
        <w:t>Recommendations to optimize routing and dispatching based on demand patterns and operational inefficiencies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23: </w:t>
      </w:r>
      <w:r>
        <w:t>Routing and Dispatching Recommendations</w:t>
      </w:r>
    </w:p>
    <w:tbl>
      <w:tblPr>
        <w:tblW w:w="8700" w:type="dxa"/>
        <w:tblBorders>
          <w:insideH w:val="single" w:sz="4" w:color="AAAAAA"/>
          <w:insideV w:val="single" w:sz="4" w:color="AAAAAA"/>
        </w:tblBorders>
      </w:tblPr>
      <w:tblGrid>
        <w:gridCol w:w="2600"/>
        <w:gridCol w:w="3000"/>
        <w:gridCol w:w="3100"/>
      </w:tblGrid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Recommendation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Supporting Evidence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Expected Impact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Concentrate dispatch 15:00–19:00 in zones 132, 237, 161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Top 3 pickup volumes; 18:00 busiest at 2.58M annual trips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Higher trip conversion; reduced wait times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Separate night fleet strategy for zones 79, 249, 48 from 22:30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Zone 79 tops night pickups (2,192); differs from daytime top 10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Better night coverage; reduced missed trips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Reduce idle positioning 2–5 AM outside key zones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Only ~1,400–2,000 sampled trips/hour at 2–5 AM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Lower driver idle costs; fuel savings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Day-type-aware dispatch algorithms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Weekday bimodal vs weekend late-peak are fundamentally different (Figure 14)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Fleet efficiency; improved SLA hit rates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Proactive congestion rerouting using slow-route data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Table 11: Routes with &lt;0.1 mph identified per hour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Shorter trip durations; higher cab turnover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Suggestions on strategically positioning cabs across different zones to make best use of insights uncovered by analysing trip trends across time, days and months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24: </w:t>
      </w:r>
      <w:r>
        <w:t>Zone Positioning Strategy Recommendations</w:t>
      </w:r>
    </w:p>
    <w:tbl>
      <w:tblPr>
        <w:tblW w:w="8700" w:type="dxa"/>
        <w:tblBorders>
          <w:insideH w:val="single" w:sz="4" w:color="AAAAAA"/>
          <w:insideV w:val="single" w:sz="4" w:color="AAAAAA"/>
        </w:tblBorders>
      </w:tblPr>
      <w:tblGrid>
        <w:gridCol w:w="2600"/>
        <w:gridCol w:w="3000"/>
        <w:gridCol w:w="3100"/>
      </w:tblGrid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Recommendation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Supporting Evidence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Expected Impact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Pre-position in zones 132, 138, 70 before peak hours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PU/DO ratios: 70=8.09, 132=4.71, 138=2.90 (Table 13)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Capture more trips at high-demand origins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Incentivise repositioning out of zones 227, 257 after dropoff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PU/DO ratio 0.028 and 0.036 – cabs accumulate with near-zero demand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Reduce idle time; redirect capacity to demand zones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Station night cabs in zones 79, 249, 48 from 22:30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Night ranking: 79=2,192; 249=1,777; 48=1,441 (Table 14)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Reduce night wait times; grow 12.2% night revenue share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Zone 132 (JFK) 24/7 minimum availability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Appears in both day (13,591) and night (2,030) top-10 rankings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Serve consistent round-the-clock airport demand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Expand seasonal fleet for Q2 and Q4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Q2 and Q4 combined = 53.5% of annual revenue (Table 7)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Avoid missed trips during revenue-peak months</w:t>
            </w:r>
          </w:p>
        </w:tc>
      </w:tr>
    </w:tbl>
    <w:p>
      <w:pPr>
        <w:spacing w:after="80"/>
      </w:pPr>
    </w:p>
    <w:p>
      <w:pPr>
        <w:numPr>
          <w:ilvl w:val="2"/>
          <w:numId w:val="1"/>
        </w:numPr>
        <w:rPr>
          <w:b/>
        </w:rPr>
      </w:pPr>
      <w:r>
        <w:rPr>
          <w:b/>
        </w:rPr>
        <w:t>Propose data-driven adjustments to the pricing strategy to maximize revenue while maintaining competitive rates with other vendors</w:t>
      </w:r>
    </w:p>
    <w:p>
      <w:pPr>
        <w:spacing w:after="80"/>
      </w:pPr>
    </w:p>
    <w:p>
      <w:pPr>
        <w:spacing w:before="200" w:after="60"/>
      </w:pPr>
      <w:r>
        <w:rPr>
          <w:b/>
        </w:rPr>
        <w:t xml:space="preserve">Table 25: </w:t>
      </w:r>
      <w:r>
        <w:t>Pricing Strategy Recommendations</w:t>
      </w:r>
    </w:p>
    <w:tbl>
      <w:tblPr>
        <w:tblW w:w="8700" w:type="dxa"/>
        <w:tblBorders>
          <w:insideH w:val="single" w:sz="4" w:color="AAAAAA"/>
          <w:insideV w:val="single" w:sz="4" w:color="AAAAAA"/>
        </w:tblBorders>
      </w:tblPr>
      <w:tblGrid>
        <w:gridCol w:w="2600"/>
        <w:gridCol w:w="3000"/>
        <w:gridCol w:w="3100"/>
      </w:tblGrid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Recommendation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Supporting Evidence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  <w:b/>
                <w:color w:val="FFFFFF"/>
              </w:rPr>
              <w:t xml:space="preserve">Expected Impact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Dynamic surge pricing +10–15% during 15:00–19:00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~2.3–2.6M actual trips/hour during peak; inelastic commute demand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Material revenue uplift during highest-demand window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Review Vendor 2 short-trip rates ($17.80/mi vs $9.76/mi)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82% premium on 0–2 mi trips (Table 17, Figure 19)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Reduce competitive disadvantage; increase short-trip volume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Night incentive fare +10% after 11 PM to attract drivers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Night only 12.2% revenue despite 29% of daily time (Table 15)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Grow night revenue share; better driver compensation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Formal shared-ride fare tier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Per-pax cost drops to $4.33 at 3 passengers (Table 16)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Attract group travel without revenue loss per trip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Promote credit card payments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33% cash trips have no recorded tip; displaces tip revenue data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shd w:val="clear" w:color="auto" w:fill="EEF3FB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Increase tip capture; improve revenue analytics</w:t>
            </w:r>
          </w:p>
        </w:tc>
      </w:tr>
      <w:tr>
        <w:tc>
          <w:tcPr>
            <w:tcW w:w="26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Transparent surcharge communication pre-trip</w:t>
            </w:r>
          </w:p>
        </w:tc>
        <w:tc>
          <w:tcPr>
            <w:tcW w:w="30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Congestion surcharge 92.3%; improvement 100% of trips (Table 21)</w:t>
            </w:r>
          </w:p>
        </w:tc>
        <w:tc>
          <w:tcPr>
            <w:tcW w:w="3100" w:type="dxa"/>
            <w:tcBorders>
              <w:top w:val="single" w:sz="4" w:color="AAAAAA"/>
              <w:left w:val="single" w:sz="4" w:color="AAAAAA"/>
              <w:bottom w:val="single" w:sz="4" w:color="AAAAAA"/>
              <w:right w:val="single" w:sz="4" w:color="AAAAAA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Reduce disputes; improve customer satisfaction</w:t>
            </w:r>
          </w:p>
        </w:tc>
      </w:tr>
    </w:tbl>
    <w:sectPr>
      <w:pgSz w:w="12240" w:h="15840"/>
      <w:pgMar w:top="1440" w:right="1260" w:bottom="1440" w:left="1260" w:header="720" w:footer="720" w:gut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cs="Arial" w:eastAsia="Arial" w:hAnsi="Arial"/>
        <w:b w:val="1"/>
        <w:i w:val="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cs="Arial" w:eastAsia="Arial" w:hAnsi="Arial"/>
        <w:b w:val="1"/>
        <w:i w:val="0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Fig01" Type="http://schemas.openxmlformats.org/officeDocument/2006/relationships/image" Target="media/fig01_pickups_by_hour.png"/><Relationship Id="rFig02" Type="http://schemas.openxmlformats.org/officeDocument/2006/relationships/image" Target="media/fig02_pickups_by_day.png"/><Relationship Id="rFig03" Type="http://schemas.openxmlformats.org/officeDocument/2006/relationships/image" Target="media/fig03_pickups_by_month.png"/><Relationship Id="rFig04" Type="http://schemas.openxmlformats.org/officeDocument/2006/relationships/image" Target="media/fig04_monthly_revenue.png"/><Relationship Id="rFig05" Type="http://schemas.openxmlformats.org/officeDocument/2006/relationships/image" Target="media/fig05_quarterly_revenue.png"/><Relationship Id="rFig06" Type="http://schemas.openxmlformats.org/officeDocument/2006/relationships/image" Target="media/fig06_fare_vs_distance.png"/><Relationship Id="rFig07" Type="http://schemas.openxmlformats.org/officeDocument/2006/relationships/image" Target="media/fig07_fare_vs_duration.png"/><Relationship Id="rFig08" Type="http://schemas.openxmlformats.org/officeDocument/2006/relationships/image" Target="media/fig08_fare_by_pax.png"/><Relationship Id="rFig09" Type="http://schemas.openxmlformats.org/officeDocument/2006/relationships/image" Target="media/fig09_tip_vs_distance.png"/><Relationship Id="rFig10" Type="http://schemas.openxmlformats.org/officeDocument/2006/relationships/image" Target="media/fig10_payment_types.png"/><Relationship Id="rFig11" Type="http://schemas.openxmlformats.org/officeDocument/2006/relationships/image" Target="media/fig11_shapefile_base.png"/><Relationship Id="rFig12" Type="http://schemas.openxmlformats.org/officeDocument/2006/relationships/image" Target="media/fig12_choropleth.png"/><Relationship Id="rFig13" Type="http://schemas.openxmlformats.org/officeDocument/2006/relationships/image" Target="media/fig13_trips_per_hour.png"/><Relationship Id="rFig14" Type="http://schemas.openxmlformats.org/officeDocument/2006/relationships/image" Target="media/fig14_weekday_vs_weekend.png"/><Relationship Id="rFig15" Type="http://schemas.openxmlformats.org/officeDocument/2006/relationships/image" Target="media/fig15_top10_pickup.png"/><Relationship Id="rFig16" Type="http://schemas.openxmlformats.org/officeDocument/2006/relationships/image" Target="media/fig16_top10_dropoff.png"/><Relationship Id="rFig17" Type="http://schemas.openxmlformats.org/officeDocument/2006/relationships/image" Target="media/fig17_fare_per_mile_day.png"/><Relationship Id="rFig18" Type="http://schemas.openxmlformats.org/officeDocument/2006/relationships/image" Target="media/fig18_fare_per_mile_vendor.png"/><Relationship Id="rFig19" Type="http://schemas.openxmlformats.org/officeDocument/2006/relationships/image" Target="media/fig19_vendor_distance_tier.png"/><Relationship Id="rFig20" Type="http://schemas.openxmlformats.org/officeDocument/2006/relationships/image" Target="media/fig20_tip_pct_distance.png"/><Relationship Id="rFig21" Type="http://schemas.openxmlformats.org/officeDocument/2006/relationships/image" Target="media/fig21_pax_by_hour.png"/><Relationship Id="rFig22" Type="http://schemas.openxmlformats.org/officeDocument/2006/relationships/image" Target="media/fig22_pax_by_day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