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customer and business-partner relationships,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accepting or servicing business from a Covered Customer who initiates contact without solicitation by Employee.</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subject to applicable law.</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subject to applicable law.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subject to applicable law.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r>
        <w:t xml:space="preserve">{IF worker_is_physician}</w:t>
      </w:r>
    </w:p>
    <w:p>
      <w:pPr>
        <w:pStyle w:val="OABody"/>
        <w:keepNext/>
        <w:numPr>
          <w:ilvl w:val="0"/>
          <w:numId w:val="1"/>
        </w:numPr>
        <w:spacing w:before="320" w:after="120" w:line="340" w:lineRule="auto"/>
        <w:jc w:val="left"/>
      </w:pPr>
      <w:r>
        <w:rPr>
          <w:b/>
          <w:bCs/>
        </w:rPr>
        <w:t xml:space="preserve">Physician-Specific Rights and Notices</w:t>
      </w:r>
    </w:p>
    <w:p>
      <w:pPr>
        <w:pStyle w:val="OABody"/>
        <w:spacing w:before="0" w:after="120" w:line="340" w:lineRule="auto"/>
        <w:ind w:left="720"/>
      </w:pPr>
      <w:r>
        <w:t xml:space="preserve">If Employee is a physician, Employee may notify patients diagnosed with rare disorders of Employee's new practice location without liability under this agreement.</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(Wyoming)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(Wyoming)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(Wyoming)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