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Trade Secrets and other non-public information that is genuinely competitively sensitive to Employer's business — including customer and pricing information, business processes, technical data, and strategic plans — that Employer takes reasonable measures to keep confidential. Confidential Information does not include ordinary, non-secret business information, information generally known in the trade, or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actually worked, whom Employee supervised, or about whom Employee gained material information during the </w:t>
      </w:r>
      <w:r>
        <w:rPr>
          <w:highlight w:val="yellow"/>
        </w:rPr>
        <w:t xml:space="preserve">{covered_employee_period}</w:t>
      </w:r>
      <w:r>
        <w:t xml:space="preserve"> before termination of employment. This term does not reach every employee of Employer.</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and genuinely competitively sensitive Confidential Information, its relationships with Covered Customers, and its stable working relationships with Covered Employees.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The Restricted Period for each covenant is a fixed and definite period and is not extended by any period of alleged breach or the pendency of any dispute.</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the restrictive covenants protect Employer's Protected Interests and are reasonable in duration, territory, and scope. Employer would not provide Employee with access to its Protected Interests absent the protections in this agreement. Each restrictive covenant is separate and independently enforceable.</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Employee has had an opportunity to consult with an attorney of Employee's choosing before entering into this agreement. Where Employee signs this agreement at or before the start of employment, the offer of employment and the access to Employer's Protected Interests it entails are the consideration for the restrictive covenants. Where Employee signs this agreement during employment, Employer's forbearance from exercising its right to terminate Employee's at-will employment is consideration for the restrictive covenants; the parties intend that forbearance to be genuine. Employee acknowledges receiving one or more of these benefits in exchange for the restrictive covenants in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stated in Cover Terms, for as long as the information remains a Trade Secret. Employee's obligations regarding other Confidential Information continue for the Other Confidential Information Duration stated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(d) testifying truthfully in legal proceedings or making disclosures required by law, subpoena, or court order;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covenant applies only to Covered Employees — colleagues with whom Employee actually worked, whom Employee supervised, or about whom Employee gained material information during the covered lookback period — and does not reach Employer's workforce generally.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is drawn to protect Employer's relationships with the specific customers, referral sources, and business partners Employee served or learned protected information about, and not Employer's customer base generally.</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 This restriction applies only to Covered Customers during the Restricted Period.</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confined to a Protected Interest of Employer and to a reasonable time, territory, and scope. Where Employer's competitors are identified in Cover Terms under Specified Competitors, this covenant is narrowed to those named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other terms and conditions of employment, or otherwise exercising rights protected by law.</w:t>
      </w:r>
    </w:p>
    <w:p>
      <w:pPr>
        <w:pStyle w:val="OABody"/>
        <w:keepNext/>
        <w:numPr>
          <w:ilvl w:val="0"/>
          <w:numId w:val="1"/>
        </w:numPr>
        <w:spacing w:before="320" w:after="120" w:line="340" w:lineRule="auto"/>
        <w:jc w:val="left"/>
      </w:pPr>
      <w:r>
        <w:rPr>
          <w:b/>
          <w:bCs/>
        </w:rPr>
        <w:t xml:space="preserve">No Restriction on a Lawyer's Right to Practice</w:t>
      </w:r>
    </w:p>
    <w:p>
      <w:pPr>
        <w:pStyle w:val="OABody"/>
        <w:spacing w:before="0" w:after="120" w:line="340" w:lineRule="auto"/>
        <w:ind w:left="720"/>
      </w:pPr>
      <w:r>
        <w:t xml:space="preserve">Notwithstanding any other provision of this agreement, no restrictive covenant in this agreement restricts the right of a licensed lawyer to practice law after the termination of the relationship.</w:t>
      </w:r>
    </w:p>
    <w:p>
      <w:pPr>
        <w:pStyle w:val="OABody"/>
        <w:keepNext/>
        <w:numPr>
          <w:ilvl w:val="0"/>
          <w:numId w:val="1"/>
        </w:numPr>
        <w:spacing w:before="320" w:after="120" w:line="340" w:lineRule="auto"/>
        <w:jc w:val="left"/>
      </w:pPr>
      <w:r>
        <w:rPr>
          <w:b/>
          <w:bCs/>
        </w:rPr>
        <w:t xml:space="preserve">Covenants Arising from a Sale of Business</w:t>
      </w:r>
    </w:p>
    <w:p>
      <w:pPr>
        <w:pStyle w:val="OABody"/>
        <w:spacing w:before="0" w:after="120" w:line="340" w:lineRule="auto"/>
        <w:ind w:left="720"/>
      </w:pPr>
      <w:r>
        <w:t xml:space="preserve">This agreement applies only to covenants Employee gives in Employee's capacity as an employee. It does not govern a covenant given separately in connection with a sale of a business or equity transaction.</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an enforceable covenant in this agreement. Employee consents to this disclosure.</w:t>
      </w:r>
    </w:p>
    <w:p>
      <w:pPr>
        <w:pStyle w:val="OABody"/>
        <w:keepNext/>
        <w:numPr>
          <w:ilvl w:val="0"/>
          <w:numId w:val="1"/>
        </w:numPr>
        <w:spacing w:before="320" w:after="120" w:line="340" w:lineRule="auto"/>
        <w:jc w:val="left"/>
      </w:pPr>
      <w:r>
        <w:rPr>
          <w:b/>
          <w:bCs/>
        </w:rPr>
        <w:t xml:space="preserve">No Extension of the Restricted Period During Breach</w:t>
      </w:r>
    </w:p>
    <w:p>
      <w:pPr>
        <w:pStyle w:val="OABody"/>
        <w:spacing w:before="0" w:after="120" w:line="340" w:lineRule="auto"/>
        <w:ind w:left="720"/>
      </w:pPr>
      <w:r>
        <w:t xml:space="preserve">The Restricted Period for each covenant is a fixed and definite period. It is not extended, tolled, or lengthened by any period during which Employee is alleged to be in breach or violation of a covenant, or by the pendency of any dispute or litigation.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an enforceable covenant in this agreement may cause Employer irreparable harm for which money damages would be inadequate. Employer may seek injunctive or other equitable relief, in addition to any other remedies available at law, to enforce an enforceable covenant.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survives termination of Employee's employment for its Restricted Period and expires on its own schedule. Obligations under the Confidential Information and Trade Secret Protection section survive to the extent, and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each covenant subject to the same limits, conditions, and enforceability as apply between Employer and Employee.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of the Governing Law state listed in Cover Terms. For employment performed in Wisconsin, the parties select Wisconsin law.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Any amendment must be in writing, signed by both parties, and supported by any consideration required by applicable law.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(Wisconsin)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(Wisconsin)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(Wisconsin)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