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t xml:space="preserve">{IF mid_employment_consideration}</w:t>
            </w:r>
            <w:r>
              <w:rPr>
                <w:rFonts w:ascii="Arial" w:hAnsi="Arial" w:cs="Arial"/>
                <w:b/>
                <w:bCs/>
                <w:color w:val="1D2021"/>
                <w:sz w:val="22"/>
                <w:szCs w:val="22"/>
              </w:rPr>
              <w:t xml:space="preserve">New Consideration (if signed after hire)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{mid_employment_consideration}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Sale-of-Business Covenant</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{sale_of_business_covenant}</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Trade Secrets and other Confidential Information, its customer lists, its customer goodwill, and any unusual training in which Employer has invested, and does not include Employee's general knowledge, skill, and experience.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Trade Secrets and other Confidential Information and will develop customer relationships and goodwill on Employer's behalf. Each covenant protects those Protected Interests.</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The parties acknowledge that this agreement is supported by adequate consideration. If this agreement is signed at the outset of employment, the offer and commencement of employment is the consideration for the covenants. If this agreement is signed after Employee's employment has begun, the consideration for the covenants is the new value stated in Cover Terms under New Consideration (if signed after hire).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Employee's obligations regarding other Confidential Information continue for the period specified in Cover Terms under Other Confidential Information Duration. This section operates alongside, and independent of, the restrictive covenants in this agreement, and it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responding to a subpoena, court order, or lawful demand of a government agency, with notice to Employer where permitted by law;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 whom Employee had material contact or for whom Employee had responsibility. This covenant does not bar Employee from working in Employee's field or from engaging in business generally.</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or for whom Employee had responsibility, regardless of who initiates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included to protect Employer's Protected Interests, not to restrain ordinary competition, and is limited to the Competitive Business and Restricted Territory stated in Cover Terms. Where Cover Terms list Specified Competitors, this covenant is limited to those named competitors. If Cover Terms indicate this covenant is a Sale-of-Business Covenant, it is given by Employee in connection with Employee's sale of a business or practice to Employer and is supported by the consideration paid in that transaction.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below the threshold stated in Cover Terms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any covenant not to compete is limited to one year and thirty road miles from Employee's primary place of practice with Employer and does not apply if Employer terminates Employee's employment. These limitations do not apply to a covenant Employee gives in connection with the sale of Employee's business or practice or to a covenant among physicians who are owners of a health care practice.</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Employer may seek to have the Restricted Period for that covenant equitably extended by the period of the breach. Any extension is limited to the period of the breach, and no extension enlarges any physician covenant beyond the limits stated in the Physician and Health Care Practitioner Covenants section.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that Employer may seek injunctive or other equitable relief in addition to any other remedies available at law. Any fee-shifting between the parties under this agreement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to the extent they relate to Trade Secrets,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(West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(West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(West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