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West Virginia</w:t>
            </w:r>
          </w:p>
        </w:tc>
      </w:tr>
      <w:tr>
        <w:tc>
          <w:tcPr>
            <w:tcW w:w="3600" w:type="dxa"/>
            <w:tcMar>
              <w:top w:w="60" w:type="dxa"/>
              <w:left w:w="0" w:type="dxa"/>
              <w:bottom w:w="60" w:type="dxa"/>
              <w:right w:w="0" w:type="dxa"/>
            </w:tcMar>
          </w:tcPr>
          <w:p>
            <w:r>
              <w:rPr>
                <w:rFonts w:ascii="Arial" w:hAnsi="Arial" w:cs="Arial"/>
                <w:b/>
                <w:bCs/>
                <w:color w:val="1D2021"/>
                <w:sz w:val="22"/>
                <w:szCs w:val="22"/>
              </w:rPr>
              <w:t xml:space="preserve">New Consideration (if signed after hire)</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3600" w:type="dxa"/>
            <w:tcMar>
              <w:top w:w="60" w:type="dxa"/>
              <w:left w:w="345" w:type="dxa"/>
              <w:bottom w:w="60" w:type="dxa"/>
              <w:right w:w="0" w:type="dxa"/>
            </w:tcMar>
          </w:tcPr>
          <w:p>
            <w:r>
              <w:rPr>
                <w:rFonts w:ascii="Arial" w:hAnsi="Arial" w:cs="Arial"/>
                <w:i/>
                <w:iCs/>
                <w:color w:val="1D2021"/>
                <w:sz w:val="21"/>
                <w:szCs w:val="21"/>
              </w:rPr>
              <w:t xml:space="preserve">Sale-of-Business Covenant</w:t>
            </w:r>
          </w:p>
        </w:tc>
        <w:tc>
          <w:tcPr>
            <w:tcW w:w="6480" w:type="dxa"/>
            <w:tcMar>
              <w:top w:w="60" w:type="dxa"/>
              <w:left w:w="0" w:type="dxa"/>
              <w:bottom w:w="60" w:type="dxa"/>
              <w:right w:w="0" w:type="dxa"/>
            </w:tcMar>
          </w:tcPr>
          <w:p>
            <w:r>
              <w:rPr>
                <w:rFonts w:ascii="Arial" w:hAnsi="Arial" w:cs="Arial"/>
                <w:i/>
                <w:iCs/>
                <w:color w:val="1D2021"/>
                <w:sz w:val="21"/>
                <w:szCs w:val="21"/>
              </w:rPr>
              <w:t xml:space="preserve">false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Trade Secrets and other Confidential Information, its customer lists, its customer goodwill, and any unusual training in which Employer has invested, and does not include Employee's general knowledge, skill, and experience.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other Confidential Information and will develop customer relationships and goodwill on Employer's behalf. Each covenant protects those Protected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offer and commencement of employment is the consideration for the covenants. If this agreement is signed after Employee's employment has begun, the consideration for the covenants is the new value stated in Cover Terms under New Consideration (if signed after hire).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operates alongside, and independent of, the restrictive covenants in this agreement, and it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responding to a subpoena, court order, or lawful demand of a government agency, with notice to Employer where permitted by law;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or for whom Employee had responsibility. This covenant does not bar Employee from working in Employee's field or from engaging in business generally.</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or for whom Employee had responsibility, regardless of who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not to restrain ordinary competition, and is limited to the Competitive Business and Restricted Territory stated in Cover Terms. Where Cover Terms list Specified Competitors, this covenant is limited to those named competitors. If Cover Terms indicate this covenant is a Sale-of-Business Covenant, it is given by Employee in connection with Employee's sale of a business or practice to Employer and is supported by the consideration paid in that transaction.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below the threshold stated in Cover Terms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any covenant not to compete is limited to one year and thirty road miles from Employee's primary place of practice with Employer and does not apply if Employer terminates Employee's employment. These limitations do not apply to a covenant Employee gives in connection with the sale of Employee's business or practice or to a covenant among physicians who are owners of a health care practice.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equitably extended by the period of the breach. Any extension is limited to the period of the breach, and no extension enlarges any physician covenant beyond the limits stated in the Physician and Health Care Practitioner Covenants section.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