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 the date the last party signs. It anchors the durations stated in Cover Terms.]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Virginia</w:t>
            </w:r>
          </w:p>
        </w:tc>
      </w:tr>
      <w:tr>
        <w:tc>
          <w:tcPr>
            <w:tcW w:w="3600" w:type="dxa"/>
            <w:tcMar>
              <w:top w:w="60" w:type="dxa"/>
              <w:left w:w="0" w:type="dxa"/>
              <w:bottom w:w="60" w:type="dxa"/>
              <w:right w:w="0" w:type="dxa"/>
            </w:tcMar>
          </w:tcPr>
          <w:p>
            <w:r>
              <w:rPr>
                <w:rFonts w:ascii="Arial" w:hAnsi="Arial" w:cs="Arial"/>
                <w:b/>
                <w:bCs/>
                <w:color w:val="1D2021"/>
                <w:sz w:val="22"/>
                <w:szCs w:val="22"/>
              </w:rPr>
              <w:t xml:space="preserve">Without-Cause Severance / Disclosed Compensation</w:t>
            </w:r>
          </w:p>
        </w:tc>
        <w:tc>
          <w:tcPr>
            <w:tcW w:w="6480" w:type="dxa"/>
            <w:tcMar>
              <w:top w:w="60" w:type="dxa"/>
              <w:left w:w="0" w:type="dxa"/>
              <w:bottom w:w="60" w:type="dxa"/>
              <w:right w:w="0" w:type="dxa"/>
            </w:tcMar>
          </w:tcPr>
          <w:p>
            <w:r>
              <w:rPr>
                <w:rFonts w:ascii="Arial" w:hAnsi="Arial" w:cs="Arial"/>
                <w:color w:val="1D2021"/>
                <w:sz w:val="22"/>
                <w:szCs w:val="22"/>
              </w:rPr>
              <w:t xml:space="preserve">severance equal to the Employee's base salary for the length of the Restricted Period, paid over that period</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worked or had responsibility for Employer during the last two years of employment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rPr>
              <w:t xml:space="preserve">five percent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training, knowledge, skill, or experience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including its Trade Secrets and other Confidential Information, its customer and referral relationships, and the goodwill Employee helped develop.</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to inquiries or business initiated by the customer, client, or person and not solicited by Employee.</w:t>
      </w:r>
    </w:p>
    <w:p>
      <w:pPr>
        <w:pStyle w:val="OABody"/>
        <w:numPr>
          <w:ilvl w:val="1"/>
          <w:numId w:val="1"/>
        </w:numPr>
        <w:spacing w:before="0" w:after="120" w:line="340" w:lineRule="auto"/>
      </w:pPr>
      <w:r>
        <w:rPr>
          <w:b/>
          <w:bCs/>
          <w:color w:val="117086"/>
        </w:rPr>
        <w:t xml:space="preserve">“Trade Secrets”</w:t>
      </w:r>
      <w:r>
        <w:t xml:space="preserve"> means information that derives independent economic value from not being generally known or readily ascertainable by proper means and is subject to reasonable efforts to maintain its secrecy.</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Trade Secrets and other Confidential Information and will develop customer relationships and goodwill on Employer's behalf. Each covenant protects those Protected Interests and is reasonably limited in duration, territory, and scope.</w:t>
      </w:r>
    </w:p>
    <w:p>
      <w:pPr>
        <w:pStyle w:val="OABody"/>
        <w:keepNext/>
        <w:numPr>
          <w:ilvl w:val="0"/>
          <w:numId w:val="1"/>
        </w:numPr>
        <w:spacing w:before="320" w:after="120" w:line="340" w:lineRule="auto"/>
        <w:jc w:val="left"/>
      </w:pPr>
      <w:r>
        <w:rPr>
          <w:b/>
          <w:bCs/>
        </w:rPr>
        <w:t xml:space="preserve">Timing, Consideration, and Workplace Posting</w:t>
      </w:r>
    </w:p>
    <w:p>
      <w:pPr>
        <w:pStyle w:val="OABody"/>
        <w:spacing w:before="0" w:after="120" w:line="340" w:lineRule="auto"/>
        <w:ind w:left="720"/>
      </w:pPr>
      <w:r>
        <w:t xml:space="preserve">This agreement is effective as of the Effective Date listed in Cover Terms. Employee acknowledges having had a genuine opportunity to review this agreement, and to consult an attorney about it, before signing.</w:t>
      </w:r>
    </w:p>
    <w:p>
      <w:pPr>
        <w:pStyle w:val="OABody"/>
        <w:keepNext/>
        <w:numPr>
          <w:ilvl w:val="0"/>
          <w:numId w:val="1"/>
        </w:numPr>
        <w:spacing w:before="320" w:after="120" w:line="340" w:lineRule="auto"/>
        <w:jc w:val="left"/>
      </w:pPr>
      <w:r>
        <w:rPr>
          <w:b/>
          <w:bCs/>
        </w:rPr>
        <w:t xml:space="preserve">Virginia Worker Exclusions</w:t>
      </w:r>
    </w:p>
    <w:p>
      <w:pPr>
        <w:pStyle w:val="OABody"/>
        <w:numPr>
          <w:ilvl w:val="1"/>
          <w:numId w:val="1"/>
        </w:numPr>
        <w:spacing w:before="0" w:after="120" w:line="340" w:lineRule="auto"/>
      </w:pPr>
      <w:r>
        <w:t xml:space="preserve">(a) No covenant not to compete applies when the eligibility determination completed for Employee indicates that the applicable compensation or worker-status exclusion applies.</w:t>
      </w:r>
    </w:p>
    <w:p>
      <w:pPr>
        <w:pStyle w:val="OABody"/>
        <w:numPr>
          <w:ilvl w:val="1"/>
          <w:numId w:val="1"/>
        </w:numPr>
        <w:spacing w:before="0" w:after="120" w:line="340" w:lineRule="auto"/>
      </w:pPr>
      <w:r>
        <w:t xml:space="preserve">(b) No covenant not to compete applies when Employee is eligible for overtime compensation.</w:t>
      </w:r>
    </w:p>
    <w:p>
      <w:pPr>
        <w:pStyle w:val="OABody"/>
        <w:numPr>
          <w:ilvl w:val="1"/>
          <w:numId w:val="1"/>
        </w:numPr>
        <w:spacing w:before="0" w:after="120" w:line="340" w:lineRule="auto"/>
      </w:pPr>
      <w:r>
        <w:t xml:space="preserve">(c) No covenant in this agreement restricts Employee from providing a service to a customer or client of Employer if Employee does not initiate contact with or solicit that customer or client.</w:t>
      </w:r>
    </w:p>
    <w:p>
      <w:pPr>
        <w:pStyle w:val="OABody"/>
        <w:numPr>
          <w:ilvl w:val="1"/>
          <w:numId w:val="1"/>
        </w:numPr>
        <w:spacing w:before="0" w:after="120" w:line="340" w:lineRule="auto"/>
      </w:pPr>
      <w:r>
        <w:t xml:space="preserve">If any other provision of this agreement conflicts with this Virginia Worker Exclusions section, this section controls.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Employee's obligations regarding other Confidential Information continue for the period specified in Cover Terms under Other Confidential Information Duration. This section does not prohibit Employee from using information that arises from Employee's general training, knowledge, skill, or experience, from using information that is readily ascertainable to the public, or from disclosing information that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that arises from Employee's general training, knowledge, skill, or experience, information readily ascertainable to the public, or information Employee otherwise has a right to disclose as legally protected conduct;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restrict Employee from providing a service to a Covered Customer who initiates contact with Employee and whom Employee did not solicit.</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who initiates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within the Restricted Territory, engage in, be employed by, consult for, or have an active ownership interest in any Competitive Business, in a role the same as or similar to the role Employee performed for Employer. This covenant is confined to the activities Employee actually performed for Employer; it does not bar Employee from serving a Competitive Business in a capacity unrelated to those activities. Passive Public Holdings are permitted.</w:t>
      </w:r>
    </w:p>
    <w:p>
      <w:pPr>
        <w:pStyle w:val="OABody"/>
        <w:keepNext/>
        <w:numPr>
          <w:ilvl w:val="0"/>
          <w:numId w:val="1"/>
        </w:numPr>
        <w:spacing w:before="320" w:after="120" w:line="340" w:lineRule="auto"/>
        <w:jc w:val="left"/>
      </w:pPr>
      <w:r>
        <w:rPr>
          <w:b/>
          <w:bCs/>
        </w:rPr>
        <w:t xml:space="preserve">Narrowing by Specified Competitors</w:t>
      </w:r>
    </w:p>
    <w:p>
      <w:pPr>
        <w:pStyle w:val="OABody"/>
        <w:spacing w:before="0" w:after="120" w:line="340" w:lineRule="auto"/>
        <w:ind w:left="720"/>
      </w:pPr>
      <w:r>
        <w:t xml:space="preserve">Where Cover Terms list Specified Competitors, the non-competition covenant is limited to those named competitors and their affiliates rather than an open-ended competitive-business definition.</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Without-Cause Termination — Severance and Disclosed Compensation</w:t>
      </w:r>
    </w:p>
    <w:p>
      <w:pPr>
        <w:pStyle w:val="OABody"/>
        <w:spacing w:before="0" w:after="120" w:line="340" w:lineRule="auto"/>
        <w:ind w:left="720"/>
      </w:pPr>
      <w:r>
        <w:t xml:space="preserve">If Employer discharges Employee without cause, Employer will provide Employee the Without-Cause Severance / Disclosed Compensation stated in Cover Terms, which the parties disclose and agree upon at execution of this agreement.</w:t>
      </w:r>
    </w:p>
    <w:p>
      <w:pPr>
        <w:pStyle w:val="OABody"/>
        <w:keepNext/>
        <w:numPr>
          <w:ilvl w:val="0"/>
          <w:numId w:val="1"/>
        </w:numPr>
        <w:spacing w:before="320" w:after="120" w:line="340" w:lineRule="auto"/>
        <w:jc w:val="left"/>
      </w:pPr>
      <w:r>
        <w:rPr>
          <w:b/>
          <w:bCs/>
        </w:rPr>
        <w:t xml:space="preserve">Health Care Professional Exclusion</w:t>
      </w:r>
    </w:p>
    <w:p>
      <w:pPr>
        <w:pStyle w:val="OABody"/>
        <w:spacing w:before="0" w:after="120" w:line="340" w:lineRule="auto"/>
        <w:ind w:left="720"/>
      </w:pPr>
      <w:r>
        <w:t xml:space="preserve">Notwithstanding any other provision of this agreement, no covenant not to compete in this agreement applies to or is enforceable against Employee if Employee is licensed, registered, or certified by the Board of Medicine, Nursing, Counseling, Optometry, Psychology, or Social Work, regardless of Employee's earnings.</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obligations then in effect under this agreement to a prospective employer or business associate of Employee.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fee-shifting between the parties under this agreement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or successor takes the covenants subject to all existing limitations under this agreement and applicable law.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All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