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and Trade Secrets and Employer's goodwill in its customer, vendor, referral-source, and business-partner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protects one or more of Employer's Protected Interests. Employer would not provide Employee with access to these Protected Interests absent the protections in this agreement. Each covenant is limited to the time, territory, and scope stated in this agreement.</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This agreement is supported by Employee's continued employment or, if signed at the outset of employment, Employer's offer of employment. Employee acknowledges having had the opportunity to consult with independent legal counsel before signing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reaches only Covered Employees during the Restricted Period and is no broader than necessary to protect Employer's workforce stability and goodwill.</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reaches only Covered Customers with whom Employee had material contact and is no broader than necessary to protect Employer's goodwill in its customer relationships.</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with whom Employee had material contact, regardless of who initiates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If Specified Competitors are listed in Cover Terms, Competitive Business is limited to those competitors.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No covenant in this agreement restricts a licensed healthcare professional from practicing beyond the Restricted Period or outside the Restricted Territory stated in Cover Terms.</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the breach continues. The extension may not exceed the number of days during which the breach continued.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including any remedy available under applicable trade-secret law for actual or threatened misappropriation of a trade secret.</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 Each covenant's duration is stated in Cover Terms, and no covenant is intended to revive after its stated term has run.</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Employer may assign this agreement to a successor in connection with a sale of its business.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This agreement does not impose a covenant not to compete as a condition of a barbering or cosmetology school's training for licensure, and it does not restrict a lawyer's right to practice after termination of the relationship except as to benefits upon retirement, nor make any restriction on a lawyer's right to practice part of the settlement of a client controversy.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(Vermont)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(Vermont)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(Vermont)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