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Vermont</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and Trade Secrets and Employer's goodwill in its customer, vendor, referral-source, and business-partner relationships.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protects one or more of Employer's Protected Interests. Employer would not provide Employee with access to these Protected Interests absent the protections in this agreement. Each covenant is limited to the time, territory, and scope stated in this agreement.</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This agreement is supported by Employee's continued employment or, if signed at the outset of employment, Employer's offer of employment. Employee acknowledges having had the opportunity to consult with independent legal counsel before signing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reaches only Covered Employees during the Restricted Period and is no broader than necessary to protect Employer's workforce stability and goodwill.</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reaches only Covered Customers with whom Employee had material contact and is no broader than necessary to protect Employer's goodwill in its customer relationships.</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with whom Employee had material contact, regardless of who initiates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If Specified Competitors are listed in Cover Terms, Competitive Business is limited to those competitors.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No covenant in this agreement restricts a licensed healthcare professional from practicing beyond the Restricted Period or outside the Restricted Territory stated in Cover Terms.</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the breach continues. The extension may not exceed the number of days during which the breach continued.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including any remedy available under applicable trade-secret law for actual or threatened misappropriation of a trade secret.</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 Each covenant's duration is stated in Cover Terms, and no covenant is intended to revive after its stated term has run.</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Employer may assign this agreement to a successor in connection with a sale of its business.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This agreement does not impose a covenant not to compete as a condition of a barbering or cosmetology school's training for licensure, and it does not restrict a lawyer's right to practice after termination of the relationship except as to benefits upon retirement, nor make any restriction on a lawyer's right to practice part of the settlement of a client controversy.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(Vermont)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(Vermont)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(Vermont)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