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Texas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goodwill, Confidential Information, Trade Secrets, and customer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Consideration, and Ancillary Agreement</w:t>
      </w:r>
    </w:p>
    <w:p>
      <w:pPr>
        <w:pStyle w:val="OABody"/>
        <w:spacing w:before="0" w:after="120" w:line="340" w:lineRule="auto"/>
        <w:ind w:left="720"/>
      </w:pPr>
      <w:r>
        <w:t xml:space="preserve">In exchange for Employee's covenants in this agreement, Employer agrees to provide Employee with Confidential Information, specialized training, and access to Employer's goodwill and customer relationships. Employee acknowledges that the covenants protect Employer's Protected Interests.</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restrictions in this agreement are reasonable and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 This confidentiality obligation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It reaches only Covered Customers with whom Employee had material contact and is no broader than necessary to protect Employer's goodwill.</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practices medicine and this agreement contains a covenant not to compete relating to that practice, Employer will provide Employee access to a list of patients whom Employee saw or treated within one year before termination and, on reasonable terms and with patient authorization, access to and copies of those patients' medical records. Employee may continue caring for a patient during an acute illness after employment ends. Employee may buy out the covenant at a reasonable price or, at Employee's election, at a price determined by a mutually agreed arbitrator, not exceeding Employee's total annual salary and wages at termination. The covenant expires no later than one year after termination and applies within no more than five miles of the location where Employee primarily practiced.</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to prevent actual or threatened misappropriation of trade secrets.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Texas law governs this agreement for an Employee who lives and works in Texas.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(Texas)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