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Tennessee</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excluding the general knowledge, skill, and experience Employee acquired during employment.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investment in special training provided to Employee, and customer relationships developed by Employee on Employer's behalf.</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qualifying as a trade secret under applicable law.</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protects one or more of Employer's Protected Interests, including its Confidential Information and trade secrets, its investment in special training, and its customer relationships in which Employee is the face of the business. Employer would not provide Employee with access to these Protected Interests absent the protections in this agreement. Employer and Employee acknowledge that the covenants are reasonable in time, territory, and scope.</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If this agreement is signed at the outset of employment, the offer and commencement of employment is the consideration. If Employee signs after hire, Employer will provide the consideration stated in Cover Terms. Employer has given Employee the opportunity to consult with independent legal counsel before signing this agreement. Employee acknowledges that the restrictions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reaches only Covered Employees whom the departing Employee actually worked with or managed and does not operate as a workforce-wide hiring ban.</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is subject to the compensation and worker exclusions stated below. If Cover Terms identify Specified Competitors, this covenant is limited to those named competitors. Passive Public Holdings are permitted.</w:t>
      </w:r>
    </w:p>
    <w:p>
      <w:pPr>
        <w:pStyle w:val="OABody"/>
        <w:keepNext/>
        <w:numPr>
          <w:ilvl w:val="0"/>
          <w:numId w:val="1"/>
        </w:numPr>
        <w:spacing w:before="320" w:after="120" w:line="340" w:lineRule="auto"/>
        <w:jc w:val="left"/>
      </w:pPr>
      <w:r>
        <w:rPr>
          <w:b/>
          <w:bCs/>
        </w:rPr>
        <w:t xml:space="preserve">Compensation Threshold and Workers Exempt from the Non-Compete</w:t>
      </w:r>
    </w:p>
    <w:p>
      <w:pPr>
        <w:pStyle w:val="OABody"/>
        <w:spacing w:before="0" w:after="120" w:line="340" w:lineRule="auto"/>
        <w:ind w:left="720"/>
      </w:pPr>
      <w:r>
        <w:t xml:space="preserve">Notwithstanding any other provision of this agreement, the non-compete restriction in this agreement does not apply to, and is void against, Employee if Employee's annualized compensation is less than $70,000. For this purpose, annualized compensation includes wages, salary, commissions, nondiscretionary bonuses, and other remuneration, and for an hourly employee is calculated by multiplying the hourly rate by forty and multiplying the product by fifty-two. The non-compete also does not apply to Employee's practice of emergency medicine. The other restrictive covenants remain in effect according to their terms.</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The same objective exclusions as the Non-Competition section apply to this restriction.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Physician and Health Care Provider Covenants</w:t>
      </w:r>
    </w:p>
    <w:p>
      <w:pPr>
        <w:pStyle w:val="OABody"/>
        <w:spacing w:before="0" w:after="120" w:line="340" w:lineRule="auto"/>
        <w:ind w:left="720"/>
      </w:pPr>
      <w:r>
        <w:t xml:space="preserve">If Employee provides licensed health-care services, any covenant restricting Employee's practice lasts no more than two years and applies only within the greater of a ten-mile radius from Employee's primary practice site or the county where that site is located. No non-compete restricts Employee's practice of emergency medicine.</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obligations then in effect under this agreement to any prospective employer or business associate of Employee if Employer has a reasonable belief that Employee may breach those obligations.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subject to applicable law.</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Each party bears its own attorney's fees unless this agreement expressly provides otherwise.</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 Each covenant's Restricted Period runs independently of the others.</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Tennessee law governs to the extent required by non-waivable law.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(Tennessee)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(Tennessee)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(Tennessee)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