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Covered Employee Period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{covered_employee_period}</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Covered Customer Period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{covered_customer_period}</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{territory}</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Passive Public Holdings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Passive Public Holdings Threshold</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{passive_public_holdings_threshold}</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 information that arises from Employee's general training, knowledge, skill, or experience whether gained on the job or otherwise, information that is readily ascertainable to the public, and information Employee otherwise has a right to disclose as legally protected conduct.</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legitimate interest in protecting its Trade Secrets, other Confidential Information, confidential customer relationships, and goodwill. Protection from ordinary competition is not a Protected Interest.</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initiate contact with, approach, induce, or encourage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that qualifies as a trade secret under the Rhode Island Uniform Trade Secrets Act, R.I. Gen. Laws § 6-41-1(4), and under applicable federal law, including information that derives independent economic value, actual or potential, from not being generally known to, and not being readily ascertainable through proper means by, another person who can obtain economic value from its disclosure or use, and that is the subject of reasonable efforts to maintain its secrecy.</w:t>
      </w:r>
    </w:p>
    <w:p>
      <w:pPr>
        <w:pStyle w:val="OABody"/>
        <w:keepNext/>
        <w:numPr>
          <w:ilvl w:val="0"/>
          <w:numId w:val="1"/>
        </w:numPr>
        <w:spacing w:before="320" w:after="120" w:line="340" w:lineRule="auto"/>
        <w:jc w:val="left"/>
      </w:pPr>
      <w:r>
        <w:rPr>
          <w:b/>
          <w:bCs/>
        </w:rPr>
        <w:t xml:space="preserve">Recitals and Legitimate Interest</w:t>
      </w:r>
    </w:p>
    <w:p>
      <w:pPr>
        <w:pStyle w:val="OABody"/>
        <w:spacing w:before="0" w:after="120" w:line="340" w:lineRule="auto"/>
        <w:ind w:left="720"/>
      </w:pPr>
      <w:r>
        <w:t xml:space="preserve">Employer and Employee acknowledge that each restrictive covenant in this agreement is ancillary to a valid employment relationship. Employee will receive access to Employer's Confidential Information and Trade Secrets and will develop goodwill with Employer's customers in the course of employment. Employer would not provide Employee with access to its Confidential Information and Trade Secrets absent the protections in this agreement.</w:t>
      </w:r>
    </w:p>
    <w:p>
      <w:pPr>
        <w:pStyle w:val="OABody"/>
        <w:keepNext/>
        <w:numPr>
          <w:ilvl w:val="0"/>
          <w:numId w:val="1"/>
        </w:numPr>
        <w:spacing w:before="320" w:after="120" w:line="340" w:lineRule="auto"/>
        <w:jc w:val="left"/>
      </w:pPr>
      <w:r>
        <w:rPr>
          <w:b/>
          <w:bCs/>
        </w:rPr>
        <w:t xml:space="preserve">Timing and Consideration</w:t>
      </w:r>
    </w:p>
    <w:p>
      <w:pPr>
        <w:pStyle w:val="OABody"/>
        <w:spacing w:before="0" w:after="120" w:line="340" w:lineRule="auto"/>
        <w:ind w:left="720"/>
      </w:pPr>
      <w:r>
        <w:t xml:space="preserve">This agreement is effective as of the Effective Date listed in Cover Terms. Employer and Employee acknowledge that the consideration exchanged for the restrictive covenants in this agreement — which may include the offer or continuation of at-will employment together with training, licensure support, access to Confidential Information and Trade Secrets, or other value — is adequate and is exchanged for those covenants. Employee may consult an attorney before entering into this agreement.</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the period specified in Cover Terms under Trade Secrets Duration, which is intended to last as long as the information remains a trade secret. Employee's obligations regarding other Confidential Information continue for the period specified in Cover Terms under Other Confidential Information Duration. This section is an agreement not to use or disclose Employer's trade-secret information, including after employment ends, and does not prohibit Employee from using information that arises from Employee's general training, knowledge, skill, or experience, whether gained on the job or otherwise, information readily ascertainable to the public, or information Employee otherwise has a right to disclose as legally protected conduct.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(e) disclosing information that arises from Employee's general training, knowledge, skill, or experience, information readily ascertainable to the public, or information Employee otherwise has a right to disclose as legally protected conduct; or (f)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is limited to initiating contact with or actively soliciting Covered Employees; it does not prohibit Employee from providing a professional reference upon request or from hiring a person who responds to a general advertisement not directed specifically at Employer's employees. This covenant is confined to the Covered Employees class and the Restricted Period.</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during the Covered Customer Period. If Employee is a physician or an advanced practice registered nurse, this covenant does not apply to Employee's practice of medicine or advanced practice nursing.</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This covenant does not apply if Employee is paid on an hourly basis, is eligible for overtime pay, is serving as a student intern, is age eighteen or younger, or has average annual earnings at or below the applicable amount established by law. This covenant does not restrict Employee's practice of medicine or advanced practice nursing. Where Cover Terms list Specified Competitors, this covenant is limited to those named competitors and their affiliates. Passive Public Holdings are permitted.</w:t>
      </w:r>
    </w:p>
    <w:p>
      <w:r>
        <w:t xml:space="preserve">{END-IF}</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The objective exclusions in the Non-Competition section also apply to this restriction.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discussing wages, hours, or working conditions as protected by law, or otherwise exercising rights protected by law.</w:t>
      </w:r>
    </w:p>
    <w:p>
      <w:r>
        <w:t xml:space="preserve">{IF healthcare_provider}</w:t>
      </w:r>
    </w:p>
    <w:p>
      <w:pPr>
        <w:pStyle w:val="OABody"/>
        <w:keepNext/>
        <w:numPr>
          <w:ilvl w:val="0"/>
          <w:numId w:val="1"/>
        </w:numPr>
        <w:spacing w:before="320" w:after="120" w:line="340" w:lineRule="auto"/>
        <w:jc w:val="left"/>
      </w:pPr>
      <w:r>
        <w:rPr>
          <w:b/>
          <w:bCs/>
        </w:rPr>
        <w:t xml:space="preserve">Physician and APRN Practice Rights</w:t>
      </w:r>
    </w:p>
    <w:p>
      <w:pPr>
        <w:pStyle w:val="OABody"/>
        <w:spacing w:before="0" w:after="120" w:line="340" w:lineRule="auto"/>
        <w:ind w:left="720"/>
      </w:pPr>
      <w:r>
        <w:t xml:space="preserve">If Employee is a physician licensed to practice medicine, any restriction of Employee's right to practice medicine in this agreement is void and unenforceable with respect to that restriction, and the remaining provisions of this agreement stay in effect (R.I. Gen. Laws § 5-37-33). If Employee is an advanced practice registered nurse, any restriction of Employee's right to practice is likewise void and unenforceable with respect to that restriction, and the remaining provisions stay in effect (R.I. Gen. Laws § 5-34-50). For such a provider, this agreement operates only to the extent it does not restrict that right to practice.</w:t>
      </w:r>
    </w:p>
    <w:p>
      <w:r>
        <w:t xml:space="preserve">{END-IF}</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 prospective employer or business associate of Employee only where a covenant in this agreement is enforceable against Employee under Rhode Island law and Employer has a reasonable belief that Employee may breach that covenant. Employer will not present or attempt to enforce a covenant that is unenforceable against Employee under the Rhode Island Noncompetition Agreement Act or void under §§ 5-37-33 / 5-34-50. Employee consents to a disclosure permitted by this section.</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The Restricted Period for each covenant runs from the date Employee's employment ends and is not extended by any period of breach.</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Employer may seek injunctive or other equitable relief in addition to any other remedies available at law. Employer may also seek an injunction against actual or threatened misappropriation of Employer's Trade Secrets. Any fee-shifting between the parties is mutual and prevailing-party based.</w:t>
      </w:r>
    </w:p>
    <w:p>
      <w:pPr>
        <w:pStyle w:val="OABody"/>
        <w:keepNext/>
        <w:numPr>
          <w:ilvl w:val="0"/>
          <w:numId w:val="1"/>
        </w:numPr>
        <w:spacing w:before="320" w:after="120" w:line="340" w:lineRule="auto"/>
        <w:jc w:val="left"/>
      </w:pPr>
      <w:r>
        <w:rPr>
          <w:b/>
          <w:bCs/>
        </w:rPr>
        <w:t xml:space="preserve">Enforceability, Severability, and Partial Enforcement</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as long as the relevant information remains a trade secret. Each covenant survives independently of the others.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Rhode Island law and a Rhode Island forum apply to an Employee who lives and works in Rhode Island. All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and any amendment that changes the scope of a restrictive covenant states which covenant version controls.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(Rhode Island)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(Rhode Island)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(Rhode Island)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