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Pennsylvania</w:t>
            </w:r>
          </w:p>
        </w:tc>
      </w:tr>
      <w:tr>
        <w:tc>
          <w:tcPr>
            <w:tcW w:w="3600" w:type="dxa"/>
            <w:tcMar>
              <w:top w:w="60" w:type="dxa"/>
              <w:left w:w="0" w:type="dxa"/>
              <w:bottom w:w="60" w:type="dxa"/>
              <w:right w:w="0" w:type="dxa"/>
            </w:tcMar>
          </w:tcPr>
          <w:p>
            <w:r>
              <w:rPr>
                <w:rFonts w:ascii="Arial" w:hAnsi="Arial" w:cs="Arial"/>
                <w:b/>
                <w:bCs/>
                <w:color w:val="1D2021"/>
                <w:sz w:val="22"/>
                <w:szCs w:val="22"/>
              </w:rPr>
              <w:t xml:space="preserve">New Consideration for a Mid-Employment Covenant</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 and does not include any customer, vendor, referral source, or business partner whose relationship with Employer predated Employee's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Employer's trade secrets, Employer's goodwill in its customer, vendor, referral-source, and business-partner relationships, and the specialized training, skills, and carefully guarded methods of doing business that Employer provides to Employee, but not Employer's interest in avoiding ordinary competition.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affirmatively contact, approach, induce, encourage, or entice a person or entity, directed at a Covered Customer or Covered Employee, for the purpose of diverting business away from Employer or of recruiting a Covered Employee, and does not include Employee's mere acceptance of business from a Covered Customer who seeks Employee out, responding to general advertisements, or responding to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for trade-secret protection under applicable Pennsylvania and federal law, including the Pennsylvania Uniform Trade Secrets Act, for as long as the information continues to derive independent economic value from not being generally known and remains the subject of reasonable efforts to maintain its secrecy.</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ancillary to the employment relationship between them and is supported by adequate consideration. Employee will receive access to Employer's Confidential Information and trade secrets and will develop customer relationships and goodwill on Employer's behalf, and Employer would not provide Employee with access to these Protected Interests absent the protections in this agreement. The parties acknowledge that each covenant is intended to protect one or more of Employer's Protected Interests and not to eliminate ordinary competition, that each covenant imposes no restraint greater than is reasonably necessary for that protection, and that each covenant is reasonably limited in duration and geographic extent.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effective as of the Effective Date listed in Cover Terms. If this agreement is signed at the outset of employment, the offer and commencement of employment is the consideration for the covenants in this agreement. If Employee signs after employment has begun, Employer will provide the new consideration described in Cover Terms under New Consideration for a Mid-Employment Covenant.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operates alongside, and independent of, each restrictive covenant in this agreement,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making disclosures required by law, court order, or a government investigation, with notice to Employer where lawful;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is included to protect Employer's Protected Interests, including its workforce stability and goodwill, and is drawn no broader than reasonably necessary to protect them.</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within the Restricted Territory. This covenant restrains only Employee's affirmative outreach: Employee's mere acceptance of business from a Covered Customer who seeks Employee out is not a breach. The covenant reaches only Covered Customers with whom Employee had material contact and does not reach customers whose relationships with Employer predated Employee's employment. This covenant is included to protect Employer's goodwill in its customer relationships and is drawn no broader than reasonably necessary to protect it.</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within the Restricted Territory, regardless of whether Employee or the Covered Customer first initiated contact. This covenant reaches only Covered Customers with whom Employee had material contact, and is included to protect Employer's goodwill in its customer relationships and drawn no broader than reasonably necessary to protect it.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is included to protect Employer's Protected Interests — its Confidential Information, trade secrets, and customer goodwill — and not to restrain ordinary competition, and its duration and territory are sized to Employee's actual role and Employer's actual market. If Employer has identified specific competitors in Cover Terms under Specified Competitors, this covenant is limited to those named competitors. If Employee is a health care practitioner covered by the Fair Contracting for Health Care Practitioners Act, this covenant is separately subject to, and limited by, the Health Care Practitioner Covenants and Patient Notice section below.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is included to protect Employer's Protected Interests and is drawn no broader than reasonably necessary to protect them.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Health Care Practitioner Covenants and Patient Notice</w:t>
      </w:r>
    </w:p>
    <w:p>
      <w:pPr>
        <w:pStyle w:val="OABody"/>
        <w:spacing w:before="0" w:after="120" w:line="340" w:lineRule="auto"/>
        <w:ind w:left="720"/>
      </w:pPr>
      <w:r>
        <w:t xml:space="preserve">If Employee is a health care practitioner covered by the Fair Contracting for Health Care Practitioners Act — a medical doctor, a doctor of osteopathy, a certified registered nurse anesthetist, a certified registered nurse practitioner, or a physician assistant — then, notwithstanding any other provision of this agreement: (a) no noncompete covenant in this agreement restrains Employee for more than one year; (b) no noncompete covenant in this agreement is enforceable by Employer if Employer dismissed Employee; and (c) nothing in this agreement treats Employee's departure or destination as Confidential Information that Employer may not communicate to patients, and nothing in this agreement restricts or delays any notice to patients that applicable law requires Employer to provide. If any other provision of this agreement conflicts with this section, this section controls.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 Any extension under this section is limited to the duration of the actual breach, and the parties do not intend any open-ended or indefinite extension.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that Employer may seek injunctive or other equitable relief in addition to any other remedies available at law. Any provision for attorney's fees and costs applies to the prevailing party on a mutual basis.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independently of every other covenant. Obligations under the Confidential Information and Trade Secret Protection section survive for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expressly including each restrictive covenant in it, to any affiliate, successor, or acquirer of all or substantially all of Employer's business or assets, whether by sale of assets or otherwise.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(Pennsylvania)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(Pennsylvania)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(Pennsylvania)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