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Oregon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3600" w:type="dxa"/>
            <w:tcMar>
              <w:top w:w="60" w:type="dxa"/>
              <w:left w:w="345" w:type="dxa"/>
              <w:bottom w:w="60" w:type="dxa"/>
              <w:right w:w="0" w:type="dxa"/>
            </w:tcMar>
          </w:tcPr>
          <w:p>
            <w:r>
              <w:rPr>
                <w:rFonts w:ascii="Arial" w:hAnsi="Arial" w:cs="Arial"/>
                <w:i/>
                <w:iCs/>
                <w:color w:val="1D2021"/>
                <w:sz w:val="21"/>
                <w:szCs w:val="21"/>
              </w:rPr>
              <w:t xml:space="preserve">Garden-Leave Payment Commitment</w:t>
            </w:r>
          </w:p>
        </w:tc>
        <w:tc>
          <w:tcPr>
            <w:tcW w:w="6480" w:type="dxa"/>
            <w:tcMar>
              <w:top w:w="60" w:type="dxa"/>
              <w:left w:w="0" w:type="dxa"/>
              <w:bottom w:w="60" w:type="dxa"/>
              <w:right w:w="0" w:type="dxa"/>
            </w:tcMar>
          </w:tcPr>
          <w:p>
            <w:r>
              <w:rPr>
                <w:rFonts w:ascii="Arial" w:hAnsi="Arial" w:cs="Arial"/>
                <w:i/>
                <w:iCs/>
                <w:color w:val="1D2021"/>
                <w:sz w:val="21"/>
                <w:szCs w:val="21"/>
              </w:rPr>
              <w:t xml:space="preserve">payment to Employee, for the time Employee is restricted from working, of the greater of (a) at least 50 percent of Employee's annual gross base salary and commissions at the time of termination or (b) 50 percent of the inflation-indexed threshold amount published by the Oregon Bureau of Labor and Industries for the calendar year preceding termination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competitively sensitive confidential business or professional information that would not qualify as a trade secret, product development plans, product launch plans, marketing strategy, sales plans, customer lists, and pricing,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of Employer with whom Employee had an active or ongoing relationship — including material contact or responsibility — during the </w:t>
      </w:r>
      <w:r>
        <w:rPr>
          <w:b w:val="0"/>
          <w:bCs w:val="0"/>
        </w:rPr>
        <w:t xml:space="preserve">12 months</w:t>
      </w:r>
      <w:r>
        <w:t xml:space="preserve"> before termination of employment, and does not include former or merely incidental patrons.</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and competitively sensitive Confidential Information, including product development plans, product launch plans, marketing strategy, and sales plans.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Statutory Protectable Interest</w:t>
      </w:r>
    </w:p>
    <w:p>
      <w:pPr>
        <w:pStyle w:val="OABody"/>
        <w:spacing w:before="0" w:after="120" w:line="340" w:lineRule="auto"/>
        <w:ind w:left="720"/>
      </w:pPr>
      <w:r>
        <w:t xml:space="preserve">Employer and Employee acknowledge that each restrictive covenant in this agreement is ancillary to a valid employment relationship and protects one or more of Employer's Protected Interests. Employee will receive access to Employer's Protected Interests, and Employer would not provide that access absent the protections in this agreement. Employee acknowledges that the covenants are reasonable and necessary to protect Employer's Protected Interests.</w:t>
      </w:r>
    </w:p>
    <w:p>
      <w:pPr>
        <w:pStyle w:val="OABody"/>
        <w:keepNext/>
        <w:numPr>
          <w:ilvl w:val="0"/>
          <w:numId w:val="1"/>
        </w:numPr>
        <w:spacing w:before="320" w:after="120" w:line="340" w:lineRule="auto"/>
        <w:jc w:val="left"/>
      </w:pPr>
      <w:r>
        <w:rPr>
          <w:b/>
          <w:bCs/>
        </w:rPr>
        <w:t xml:space="preserve">Timing and Formation of the Non-Competition Covenant</w:t>
      </w:r>
    </w:p>
    <w:p>
      <w:pPr>
        <w:pStyle w:val="OABody"/>
        <w:spacing w:before="0" w:after="120" w:line="340" w:lineRule="auto"/>
        <w:ind w:left="720"/>
      </w:pPr>
      <w:r>
        <w:t xml:space="preserve">If this agreement includes a covenant not to compete, Employee acknowledges either that Employee received a written employment offer stating that the covenant was required at least two weeks before employment began or that Employee enters into the covenant upon a bona fide advancement. Employer has advised Employee that Employee may consult with an attorney before entering into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Employee's obligations regarding other Confidential Information continue for the period specified in Cover Terms. Nothing in this section, and nothing in this agreement, restricts the right of Employer to protect trade secrets or other proprietary information by injunction or any other lawful means under other applicable laws.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the Oregon Bureau of Labor and Industries, or any other federal, state, or local agency; (b) making disclosures protected under whistleblower provisions of any law; (c) discussing wages, hours, or other terms and conditions of employment as protected by applicable law; (d) disclosing or discussing conduct that constitutes discrimination, harassment, or sexual assault, as protected Under the Oregon Workplace Fairness Act, ORS 659A.370; (e) testifying truthfully in legal proceedings;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Employer will provide Employee a signed copy of any noncompetition covenant within 30 days after termination.</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restriction applies only to Covered Employees during the Restricted Period (ORS 653.295(5)(b)).</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The Covered Customers class is limited to customers with an active or ongoing relationship with Employer and does not include former or merely incidental patrons.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applies only to Covered Customers with an active or ongoing relationship with Employer and excludes former or incidental patrons.</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applies only if Employee's duties, salary basis, and annual compensation at termination satisfy applicable law or Employer makes the garden-leave payment stated in Cover Terms. Employer will provide Employee a signed copy of this covenant within 30 days after termination. The Restricted Period ends no later than 12 months after termination. Passive Public Holdings are permitted.</w:t>
      </w:r>
    </w:p>
    <w:p>
      <w:pPr>
        <w:pStyle w:val="OABody"/>
        <w:keepNext/>
        <w:numPr>
          <w:ilvl w:val="0"/>
          <w:numId w:val="1"/>
        </w:numPr>
        <w:spacing w:before="320" w:after="120" w:line="340" w:lineRule="auto"/>
        <w:jc w:val="left"/>
      </w:pPr>
      <w:r>
        <w:rPr>
          <w:b/>
          <w:bCs/>
        </w:rPr>
        <w:t xml:space="preserve">Garden-Leave Payment Commitment (Oregon)</w:t>
      </w:r>
    </w:p>
    <w:p>
      <w:pPr>
        <w:pStyle w:val="OABody"/>
        <w:spacing w:before="0" w:after="120" w:line="340" w:lineRule="auto"/>
        <w:ind w:left="720"/>
      </w:pPr>
      <w:r>
        <w:t xml:space="preserve">Employer agrees to pay Employee </w:t>
      </w:r>
      <w:r>
        <w:rPr>
          <w:b w:val="0"/>
          <w:bCs w:val="0"/>
        </w:rPr>
        <w:t xml:space="preserve">payment to Employee, for the time Employee is restricted from working, of the greater of (a) at least 50 percent of Employee's annual gross base salary and commissions at the time of termination or (b) 50 percent of the inflation-indexed threshold amount published by the Oregon Bureau of Labor and Industries for the calendar year preceding termination</w:t>
      </w:r>
      <w:r>
        <w:t xml:space="preserve"> during the non-compete's Restricted Period when the garden-leave payment condition applies.</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restriction is subject to the same conditions and Restricted Period as the Non-Competition covenant.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exercising rights protected by law, or disclosing or discussing conduct that constitutes discrimination, harassment, or sexual assault. Under the Oregon Workplace Fairness Act, ORS 659A.370(1), no provision of this agreement has the purpose or effect of preventing Employee from disclosing or discussing such conduct.</w:t>
      </w:r>
    </w:p>
    <w:p>
      <w:pPr>
        <w:pStyle w:val="OABody"/>
        <w:keepNext/>
        <w:numPr>
          <w:ilvl w:val="0"/>
          <w:numId w:val="1"/>
        </w:numPr>
        <w:spacing w:before="320" w:after="120" w:line="340" w:lineRule="auto"/>
        <w:jc w:val="left"/>
      </w:pPr>
      <w:r>
        <w:rPr>
          <w:b/>
          <w:bCs/>
        </w:rPr>
        <w:t xml:space="preserve">Oregon Workplace Fairness Act</w:t>
      </w:r>
    </w:p>
    <w:p>
      <w:pPr>
        <w:pStyle w:val="OABody"/>
        <w:spacing w:before="0" w:after="120" w:line="340" w:lineRule="auto"/>
        <w:ind w:left="720"/>
      </w:pPr>
      <w:r>
        <w:t xml:space="preserve">Notwithstanding any other provision of this agreement, no nondisclosure provision, nondisparagement provision, or other provision of this agreement has the purpose or effect of preventing Employee — as a former, current, or prospective employee — from disclosing or discussing conduct that constitutes discrimination prohibited by ORS 659A.030 (including conduct that constitutes sexual assault) or by ORS 659A.082 or 659A.112, that occurred between employees, or between an employer and an employee, in the workplace or at a work-related event, or off the employment premises, as provided in ORS 659A.370(1). Confidentiality obligations under this agreement remain scoped to Employer's trade-secret and proprietary-information interests.</w:t>
      </w:r>
    </w:p>
    <w:p>
      <w:pPr>
        <w:pStyle w:val="OABody"/>
        <w:keepNext/>
        <w:numPr>
          <w:ilvl w:val="0"/>
          <w:numId w:val="1"/>
        </w:numPr>
        <w:spacing w:before="320" w:after="120" w:line="340" w:lineRule="auto"/>
        <w:jc w:val="left"/>
      </w:pPr>
      <w:r>
        <w:rPr>
          <w:b/>
          <w:bCs/>
        </w:rPr>
        <w:t xml:space="preserve">Medical-Licensee Non-Competition Exclusion</w:t>
      </w:r>
    </w:p>
    <w:p>
      <w:pPr>
        <w:pStyle w:val="OABody"/>
        <w:spacing w:before="0" w:after="120" w:line="340" w:lineRule="auto"/>
        <w:ind w:left="720"/>
      </w:pPr>
      <w:r>
        <w:t xml:space="preserve">No covenant in this agreement restricts Employee's practice of medicine or nursing where applicable law prohibits that restriction.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if Employer has a reasonable belief that Employee may breach an enforceable restrictive covenant in this agreement. Employee consents to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 restrictive covenant other than the non-compete, the Restricted Period for that covenant is extended by one day for each day of the breach. Tolling will not extend the non-compete beyond 12 months after termination.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lawful relief to protect its Trade Secrets and proprietary information. The prevailing party in an enforcement action is entitled to reasonable attorney fees, costs, and disbursements.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The non-compete expires no later than 12 months after termination.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Assignment does not expand a covenant or eliminate any condition applicable to its enforcement.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Oregon law governs to the extent required by non-waivable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Any amendment introducing or expanding a non-compete is effective only if executed in connection with a bona fide advancement or other formation event permitted by applicable law. This agreement may otherwise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(Oregon)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(Oregon)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(Oregon)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