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3600" w:type="dxa"/>
            <w:tcMar>
              <w:top w:w="60" w:type="dxa"/>
              <w:left w:w="0" w:type="dxa"/>
              <w:bottom w:w="60" w:type="dxa"/>
              <w:right w:w="0" w:type="dxa"/>
            </w:tcMar>
          </w:tcPr>
          <w:p>
            <w:r>
              <w:rPr>
                <w:rFonts w:ascii="Arial" w:hAnsi="Arial" w:cs="Arial"/>
                <w:b/>
                <w:bCs/>
                <w:color w:val="1D2021"/>
                <w:sz w:val="22"/>
                <w:szCs w:val="22"/>
              </w:rPr>
              <w:t xml:space="preserve">Venue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{governing_venue}</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Covered Employee Look-Back</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{covered_employee_period}</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 and excluding Employee's general skills, experience, and public knowledge.</w:t>
      </w:r>
    </w:p>
    <w:p>
      <w:pPr>
        <w:pStyle w:val="OABody"/>
        <w:numPr>
          <w:ilvl w:val="1"/>
          <w:numId w:val="1"/>
        </w:numPr>
        <w:spacing w:before="0" w:after="120" w:line="340" w:lineRule="auto"/>
      </w:pPr>
      <w:r>
        <w:rPr>
          <w:b/>
          <w:bCs/>
          <w:color w:val="117086"/>
        </w:rPr>
        <w:t xml:space="preserve">“Covered Employees”</w:t>
      </w:r>
      <w:r>
        <w:t xml:space="preserve"> means only those employees of Employer with whom Employee worked, or whom Employee supervised or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“Protected Interests”</w:t>
      </w:r>
      <w:r>
        <w:t xml:space="preserve"> means Employer's trade secrets, Confidential Information, company property, legally protected business information, and Employer's relationships with its workforce.</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“Solicit”</w:t>
      </w:r>
      <w:r>
        <w:t xml:space="preserve"> means for Employee to directly or indirectly initiate contact with, approach, induce, or encourage a person for the purpose of diverting employment away from Employer. Solicit does not include passively receiving an inquiry that Employee did not initiate, providing a professional reference on request, or responding to a general advertisement or an unsolicited approach.</w:t>
      </w:r>
    </w:p>
    <w:p>
      <w:pPr>
        <w:pStyle w:val="OABody"/>
        <w:numPr>
          <w:ilvl w:val="1"/>
          <w:numId w:val="1"/>
        </w:numPr>
        <w:spacing w:before="0" w:after="120" w:line="340" w:lineRule="auto"/>
      </w:pPr>
      <w:r>
        <w:rPr>
          <w:b/>
          <w:bCs/>
          <w:color w:val="117086"/>
        </w:rPr>
        <w:t xml:space="preserve">“Trade Secrets”</w:t>
      </w:r>
      <w:r>
        <w:t xml:space="preserve"> means information that derives economic value from not being generally known or readily ascertainable and that Employer takes reasonable measures to protect.</w:t>
      </w:r>
    </w:p>
    <w:p>
      <w:pPr>
        <w:pStyle w:val="OABody"/>
        <w:keepNext/>
        <w:numPr>
          <w:ilvl w:val="0"/>
          <w:numId w:val="1"/>
        </w:numPr>
        <w:spacing w:before="320" w:after="120" w:line="340" w:lineRule="auto"/>
        <w:jc w:val="left"/>
      </w:pPr>
      <w:r>
        <w:rPr>
          <w:b/>
          <w:bCs/>
        </w:rPr>
        <w:t xml:space="preserve">Timing and Employee Acknowledgements</w:t>
      </w:r>
    </w:p>
    <w:p>
      <w:pPr>
        <w:pStyle w:val="OABody"/>
        <w:spacing w:before="0" w:after="120" w:line="340" w:lineRule="auto"/>
        <w:ind w:left="720"/>
      </w:pPr>
      <w:r>
        <w:t xml:space="preserve">Employee acknowledges that the confidentiality, company-property, non-disparagement, and non-solicitation obligations in this agreement protect Employer's Protected Interests. The employee non-solicitation covenant does not bar Employee from working for a competitor. This agreement is effective as of the Effective Date listed in Cover Terms. Employee acknowledges having had the opportunity to consult with independent legal counsel before signing this agreement.</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under applicable law. Employee's obligations regarding other Confidential Information continue for the period specified in Cover Terms. These obligations do not bar Employee from working for a competitor or serving customers without using or disclosing Confidential Information.</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specified in Cover Terms for Employee Non-Solicitation, Employee must not Solicit, recruit, or induce any Covered Employee to leave Employer's employment. This covenant does not prohibit Employee from providing a professional reference on request, hiring a person who responds to a general advertisement not directed specifically at Employer's employees, or working for another employer.</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discussing wages, hours, or other terms and conditions of employment as protected by Section 7 of the National Labor Relations Act, 29 U.S.C. § 157, or otherwise exercising rights protected by law.</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Employee's confidentiality, trade-secret, return-of-property, non-disparagement, and employee non-solicitation obligations under this agreement to any prospective employer or business associate of Employee if Employer has a reasonable belief that Employee may breach those lawful obligations. Employee consents to this disclosure.</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to prevent actual or threatened misappropriation of trade secrets and to enforce Employee's confidentiality, non-disparagement, and return-of-property obligations. Employer may not obtain relief under this agreement that prohibits Employee from working for a competitor. If a party prevails in an action to enforce an obligation under this agreement, the non-prevailing party must reimburse the prevailing party's reasonable attorney's fees and costs to the extent permitted by applicable law. No fee, damages, or forfeiture applies to lawful post-employment competition.</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it is severed and the remaining provisions remain in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 Assignment does not expand any obligation under this agreement.</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North Dakota law governs this agreement, and disputes will be resolved in the state and federal courts located in North Dakota.</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(North Dakota)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(North Dakota)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(North Dakota)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