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t xml:space="preserve">{IF mid_employment_consideration}</w:t>
            </w:r>
            <w:r>
              <w:rPr>
                <w:rFonts w:ascii="Arial" w:hAnsi="Arial" w:cs="Arial"/>
                <w:b/>
                <w:bCs/>
                <w:color w:val="1D2021"/>
                <w:sz w:val="22"/>
                <w:szCs w:val="22"/>
              </w:rPr>
              <w:t xml:space="preserve">Mid-Employment Consideration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{mid_employment_consideration}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 defined by reference to the duties Employee actually performed for Employer rather than every line of Employer's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 Covered Customers does not include prospective clients Employer had not obtained.</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existing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and extended only as expressly provided in the Tolling and Extension During Breach section.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actively contact, approach, persuade, request, petition, induce, or encourage any person or entity for the purpose of diverting business away from Employer or of causing a Covered Employee to leave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is supported by valuable consideration and protects Employer's Protected Interests.</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valuable consideration. If this agreement is signed at the outset of employment, the offer and commencement of employment is the consideration for the covenants. If Employee signs after employment has begun, the new consideration stated in Cover Terms under Mid-Employment Consideration is exchanged for the covenants.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Signed Writing Requirement</w:t>
      </w:r>
    </w:p>
    <w:p>
      <w:pPr>
        <w:pStyle w:val="OABody"/>
        <w:spacing w:before="0" w:after="120" w:line="340" w:lineRule="auto"/>
        <w:ind w:left="720"/>
      </w:pPr>
      <w:r>
        <w:t xml:space="preserve">Each restrictive covenant and any amendment changing its scope must be in writing and signed by Employee.</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operates alongside, and independent of, any restrictive covenant in this agreement,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or induce any Covered Employee to leave Employer. This restriction requires active persuasion; it does not prohibit Employee from providing a professional reference upon request, and it does not by its terms reach the hiring of a person who applies on their own initiative or in response to a general advertisement not directed specifically at Employer's employees. This covenant reaches only Covered Employees during the Restricted Period and is no broader than necessary to protect Employer's workforce stability and goodwill.</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 whom Employee had material contact. This covenant does not reach prospective clients Employer never obtained.</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whether Employee or the Covered Customer initiates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exists to protect Employer's Protected Interests — its Confidential Information, trade secrets, and existing customer goodwill — and not to restrain ordinary competition. The parties intend this covenant to be confined to the duties Employee actually performed and not to bar future work distinct from those duties, and to claim no territory beyond what protects Employer's interest in maintaining its existing customers. If Employer has identified specific competitors in Cover Terms under Specified Competitors, the parties intend this covenant to be understood and enforced as limited to those named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no covenant prohibits Employee from continuing care for an existing patient or complying with applicable patient-notification and access requirements.</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and Extension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distinctly severable provision is unenforceable, it is severed and the remaining provisions remain in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as it may be extended under the Tolling and Extension During Breach section.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Each covenant states its own survival so that its duration is independently determinable.</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North Carolina law governs this agreement, and the state and federal courts located in North Carolina have exclusive jurisdiction over disputes arising from it, subject to non-waivable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any amendment changing the scope of a restrictive covenant must be signed by Employee.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