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North Carolina</w:t>
            </w:r>
          </w:p>
        </w:tc>
      </w:tr>
      <w:tr>
        <w:tc>
          <w:tcPr>
            <w:tcW w:w="3600" w:type="dxa"/>
            <w:tcMar>
              <w:top w:w="60" w:type="dxa"/>
              <w:left w:w="0" w:type="dxa"/>
              <w:bottom w:w="60" w:type="dxa"/>
              <w:right w:w="0" w:type="dxa"/>
            </w:tcMar>
          </w:tcPr>
          <w:p>
            <w:r>
              <w:rPr>
                <w:rFonts w:ascii="Arial" w:hAnsi="Arial" w:cs="Arial"/>
                <w:b/>
                <w:bCs/>
                <w:color w:val="1D2021"/>
                <w:sz w:val="22"/>
                <w:szCs w:val="22"/>
              </w:rPr>
              <w:t xml:space="preserve">Mid-Employment Consideration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Perpetual</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Covered Employee Period</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Covered Customer Period</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Non-Competition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rPr>
              <w:t xml:space="preserve">the geographic area in which Employee provided services and built customer relationships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[Description of the business activities that constitute competition with the employer, defined by reference to the duties the employee actually performed rather than every line of the employer's business.]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 Business with Covered Customers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Non-Investment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Passive Public Holdings Threshold</w:t>
            </w:r>
          </w:p>
        </w:tc>
        <w:tc>
          <w:tcPr>
            <w:tcW w:w="6480" w:type="dxa"/>
            <w:tcMar>
              <w:top w:w="60" w:type="dxa"/>
              <w:left w:w="0" w:type="dxa"/>
              <w:bottom w:w="60" w:type="dxa"/>
              <w:right w:w="0" w:type="dxa"/>
            </w:tcMar>
          </w:tcPr>
          <w:p>
            <w:r>
              <w:rPr>
                <w:rFonts w:ascii="Arial" w:hAnsi="Arial" w:cs="Arial"/>
                <w:i/>
                <w:iCs/>
                <w:color w:val="1D2021"/>
                <w:sz w:val="21"/>
                <w:szCs w:val="21"/>
              </w:rPr>
              <w:t xml:space="preserve">five percent</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 defined by reference to the duties Employee actually performed for Employer rather than every line of Employer's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b w:val="0"/>
          <w:bCs w:val="0"/>
        </w:rPr>
        <w:t xml:space="preserve">12 months</w:t>
      </w:r>
      <w:r>
        <w:t xml:space="preserve"> before termination of employment. Covered Customers does not include prospective clients Employer had not obtained.</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b w:val="0"/>
          <w:bCs w:val="0"/>
        </w:rPr>
        <w:t xml:space="preserve">five percent</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Confidential Information, Trade Secrets, and goodwill in existing customer, vendor, referral-source, and business-partner relationships.</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 and extended only as expressly provided in the Tolling and Extension During Breach section.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actively contact, approach, persuade, request, petition, induce, or encourage any person or entity for the purpose of diverting business away from Employer or of causing a Covered Employee to leave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qualifying as a trade secret under applicable law.</w:t>
      </w:r>
    </w:p>
    <w:p>
      <w:pPr>
        <w:pStyle w:val="OABody"/>
        <w:keepNext/>
        <w:numPr>
          <w:ilvl w:val="0"/>
          <w:numId w:val="1"/>
        </w:numPr>
        <w:spacing w:before="320" w:after="120" w:line="340" w:lineRule="auto"/>
        <w:jc w:val="left"/>
      </w:pPr>
      <w:r>
        <w:rPr>
          <w:b/>
          <w:bCs/>
        </w:rPr>
        <w:t xml:space="preserve">Recitals and Protected Interests</w:t>
      </w:r>
    </w:p>
    <w:p>
      <w:pPr>
        <w:pStyle w:val="OABody"/>
        <w:spacing w:before="0" w:after="120" w:line="340" w:lineRule="auto"/>
        <w:ind w:left="720"/>
      </w:pPr>
      <w:r>
        <w:t xml:space="preserve">Employer and Employee acknowledge that each restrictive covenant is supported by valuable consideration and protects Employer's Protected Interests.</w:t>
      </w:r>
    </w:p>
    <w:p>
      <w:pPr>
        <w:pStyle w:val="OABody"/>
        <w:keepNext/>
        <w:numPr>
          <w:ilvl w:val="0"/>
          <w:numId w:val="1"/>
        </w:numPr>
        <w:spacing w:before="320" w:after="120" w:line="340" w:lineRule="auto"/>
        <w:jc w:val="left"/>
      </w:pPr>
      <w:r>
        <w:rPr>
          <w:b/>
          <w:bCs/>
        </w:rPr>
        <w:t xml:space="preserve">Timing, Consideration, and Employee Acknowledgements</w:t>
      </w:r>
    </w:p>
    <w:p>
      <w:pPr>
        <w:pStyle w:val="OABody"/>
        <w:spacing w:before="0" w:after="120" w:line="340" w:lineRule="auto"/>
        <w:ind w:left="720"/>
      </w:pPr>
      <w:r>
        <w:t xml:space="preserve">The parties acknowledge that this agreement is supported by valuable consideration. If this agreement is signed at the outset of employment, the offer and commencement of employment is the consideration for the covenants. If Employee signs after employment has begun, the new consideration stated in Cover Terms under Mid-Employment Consideration is exchanged for the covenants. Employee acknowledges having had the opportunity to consult with independent legal counsel before signing this agreement. This agreement is effective as of the Effective Date listed in Cover Terms.</w:t>
      </w:r>
    </w:p>
    <w:p>
      <w:pPr>
        <w:pStyle w:val="OABody"/>
        <w:keepNext/>
        <w:numPr>
          <w:ilvl w:val="0"/>
          <w:numId w:val="1"/>
        </w:numPr>
        <w:spacing w:before="320" w:after="120" w:line="340" w:lineRule="auto"/>
        <w:jc w:val="left"/>
      </w:pPr>
      <w:r>
        <w:rPr>
          <w:b/>
          <w:bCs/>
        </w:rPr>
        <w:t xml:space="preserve">Signed Writing Requirement</w:t>
      </w:r>
    </w:p>
    <w:p>
      <w:pPr>
        <w:pStyle w:val="OABody"/>
        <w:spacing w:before="0" w:after="120" w:line="340" w:lineRule="auto"/>
        <w:ind w:left="720"/>
      </w:pPr>
      <w:r>
        <w:t xml:space="preserve">Each restrictive covenant and any amendment changing its scope must be in writing and signed by Employee.</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for as long as the information remains a trade secret. Employee's obligations regarding other Confidential Information continue for the period specified in Cover Terms. This confidentiality obligation operates alongside, and independent of, any restrictive covenant in this agreement, and does not restrict Employee's use of the general knowledge, skill, and experience Employee acquired during employment.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or induce any Covered Employee to leave Employer. This restriction requires active persuasion; it does not prohibit Employee from providing a professional reference upon request, and it does not by its terms reach the hiring of a person who applies on their own initiative or in response to a general advertisement not directed specifically at Employer's employees. This covenant reaches only Covered Employees during the Restricted Period and is no broader than necessary to protect Employer's workforce stability and goodwill.</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with whom Employee had material contact. This covenant does not reach prospective clients Employer never obtained.</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with whom Employee had material contact, whether Employee or the Covered Customer initiates contact.</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This covenant exists to protect Employer's Protected Interests — its Confidential Information, trade secrets, and existing customer goodwill — and not to restrain ordinary competition. The parties intend this covenant to be confined to the duties Employee actually performed and not to bar future work distinct from those duties, and to claim no territory beyond what protects Employer's interest in maintaining its existing customers. If Employer has identified specific competitors in Cover Terms under Specified Competitors, the parties intend this covenant to be understood and enforced as limited to those named competitors. Passive Public Holdings are permitted.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rights protected under Section 7 of the National Labor Relations Act.</w:t>
      </w:r>
    </w:p>
    <w:p>
      <w:pPr>
        <w:pStyle w:val="OABody"/>
        <w:keepNext/>
        <w:numPr>
          <w:ilvl w:val="0"/>
          <w:numId w:val="1"/>
        </w:numPr>
        <w:spacing w:before="320" w:after="120" w:line="340" w:lineRule="auto"/>
        <w:jc w:val="left"/>
      </w:pPr>
      <w:r>
        <w:rPr>
          <w:b/>
          <w:bCs/>
        </w:rPr>
        <w:t xml:space="preserve">Physician and Health Care Practitioner Covenants</w:t>
      </w:r>
    </w:p>
    <w:p>
      <w:pPr>
        <w:pStyle w:val="OABody"/>
        <w:spacing w:before="0" w:after="120" w:line="340" w:lineRule="auto"/>
        <w:ind w:left="720"/>
      </w:pPr>
      <w:r>
        <w:t xml:space="preserve">If Employee is a physician, no covenant prohibits Employee from continuing care for an existing patient or complying with applicable patient-notification and access requirements.</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w:t>
      </w:r>
    </w:p>
    <w:p>
      <w:pPr>
        <w:pStyle w:val="OABody"/>
        <w:keepNext/>
        <w:numPr>
          <w:ilvl w:val="0"/>
          <w:numId w:val="1"/>
        </w:numPr>
        <w:spacing w:before="320" w:after="120" w:line="340" w:lineRule="auto"/>
        <w:jc w:val="left"/>
      </w:pPr>
      <w:r>
        <w:rPr>
          <w:b/>
          <w:bCs/>
        </w:rPr>
        <w:t xml:space="preserve">Tolling and Extension During Breach</w:t>
      </w:r>
    </w:p>
    <w:p>
      <w:pPr>
        <w:pStyle w:val="OABody"/>
        <w:spacing w:before="0" w:after="120" w:line="340" w:lineRule="auto"/>
        <w:ind w:left="720"/>
      </w:pPr>
      <w:r>
        <w:t xml:space="preserve">If Employee breaches any restrictive covenant in this agreement, the Restricted Period for that covenant is extended by one day for each day of the breach, up to the original Restricted Period.</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distinctly severable provision is unenforceable, it is severed and the remaining provisions remain in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as it may be extended under the Tolling and Extension During Breach section.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 Each covenant states its own survival so that its duration is independently determinable.</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North Carolina law governs this agreement, and the state and federal courts located in North Carolina have exclusive jurisdiction over disputes arising from it, subject to non-waivable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and any amendment changing the scope of a restrictive covenant must be signed by Employee.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(North Carolina)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(North Carolina)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(North Carolina)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