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New York</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confidential customer information, pricing, business processes, technical data, and strategic plans, but excluding information that becomes public through no fault of Employee, the general knowledge, skill, and experience Employee acquired during employment, and information about the ordinary, internal operations of the business that does not itself qualify as a Trade Secret.</w:t>
      </w:r>
    </w:p>
    <w:p>
      <w:pPr>
        <w:pStyle w:val="OABody"/>
        <w:numPr>
          <w:ilvl w:val="1"/>
          <w:numId w:val="1"/>
        </w:numPr>
        <w:spacing w:before="0" w:after="120" w:line="340" w:lineRule="auto"/>
      </w:pPr>
      <w:r>
        <w:rPr>
          <w:b/>
          <w:bCs/>
          <w:color w:val="117086"/>
        </w:rPr>
        <w:t xml:space="preserve">“Covered Customers”</w:t>
      </w:r>
      <w:r>
        <w:t xml:space="preserve"> means customers, referral sources, and business partners the Employee actually developed or serviced, or for whom Employee had responsibility, and with whom Employee therefore had material contact during the </w:t>
      </w:r>
      <w:r>
        <w:rPr>
          <w:b w:val="0"/>
          <w:bCs w:val="0"/>
        </w:rPr>
        <w:t xml:space="preserve">12 months</w:t>
      </w:r>
      <w:r>
        <w:t xml:space="preserve"> before termination of employment; it does not include customers Employee never met, did not know about, and did no work for.</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protection against misappropriation of Employer's trade secrets or confidential customer information, protection from competition by a former employee whose services to Employer were unique or extraordinary, and protection of client goodwill created and maintained at Employer's expense.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on Employee's own initiative, for the purpose of diverting business away from Employer, but does not include responding to general advertisements or accepting the unprompted patronage of a customer who chooses to leave Employer without solicitation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 including the federal Defend Trade Secrets Act, 18 U.S.C. § 1839(3), covering information that derives independent economic value, actual or potential, from not being generally known or readily ascertainable and that is the subject of efforts reasonable under the circumstances to maintain its secrecy.</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Employee will receive access to Employer's Trade Secrets and other Confidential Information and will develop customer relationships and goodwill on Employer's behalf. Employer and Employee acknowledge that the restrictive covenants in this agreement protect those interests.</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This agreement is effective as of the Effective Date listed in Cover Terms. The parties acknowledge that this agreement is supported by adequate consideration. If this agreement is signed at the outset of employment, the consideration is the offer and commencement of employment. If Employee signs this agreement after employment has begun, the consideration is Employer's continued employment of Employee and any raise, promotion, bonus, or other benefit provided to Employee in connection with signing. Employee acknowledges having had the opportunity to review this agreement, and to consult with independent legal counsel about it,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for as long as the information remains a trade secret. Employee's obligations regarding other Confidential Information continue for the period specified in Cover Terms under Other Confidential Information Duration. This confidentiality obligation operates alongside, and independent of, the restrictive covenants in this agreement, and does not restrict Employee's use of the general knowledge, skill, and experience Employee acquired during employment or of information about Employer's ordinary internal operations that is not itself a Trade Secret.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 Confidentiality and non-disparagement obligations in this agreement do not waive or restrict rights that cannot lawfully be waived.</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included to protect Employer's Protected Interests and is drawn no broader than reasonably necessary to protect them.</w:t>
      </w:r>
    </w:p>
    <w:p>
      <w:pPr>
        <w:pStyle w:val="OABody"/>
        <w:keepNext/>
        <w:numPr>
          <w:ilvl w:val="0"/>
          <w:numId w:val="1"/>
        </w:numPr>
        <w:spacing w:before="320" w:after="120" w:line="340" w:lineRule="auto"/>
        <w:jc w:val="left"/>
      </w:pPr>
      <w:r>
        <w:rPr>
          <w:b/>
          <w:bCs/>
        </w:rPr>
        <w:t xml:space="preserve">Non-Solicitation of Customers,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 customers, referral sources, and business partners the Employee actually developed or serviced and with whom Employee had material contact — and does not reach customers Employee never met, did not know about, and did no work for. This covenant is included to protect Employer's Protected Interests and is drawn no broader than reasonably necessary to protect them.</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reaches only Covered Customers with whom Employee had material contact, is included to protect Employer's Protected Interests, and is drawn no broader than reasonably necessary to protect them.</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list Specified Competitors, this covenant is limited to those named competitors and their affiliates. This covenant is subject to the Broadcast Employee Exclusion section.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is included to protect Employer's Protected Interests and is drawn no broader than reasonably necessary to protect them.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 (29 U.S.C. § 157).</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health care practitioner, no covenant prohibits Employee from continuing care for an existing patient or complying with applicable patient-notification and access requirements.</w:t>
      </w:r>
    </w:p>
    <w:p>
      <w:pPr>
        <w:pStyle w:val="OABody"/>
        <w:keepNext/>
        <w:numPr>
          <w:ilvl w:val="0"/>
          <w:numId w:val="1"/>
        </w:numPr>
        <w:spacing w:before="320" w:after="120" w:line="340" w:lineRule="auto"/>
        <w:jc w:val="left"/>
      </w:pPr>
      <w:r>
        <w:rPr>
          <w:b/>
          <w:bCs/>
        </w:rPr>
        <w:t xml:space="preserve">Broadcast Employee Exclusion</w:t>
      </w:r>
    </w:p>
    <w:p>
      <w:pPr>
        <w:pStyle w:val="OABody"/>
        <w:spacing w:before="0" w:after="120" w:line="340" w:lineRule="auto"/>
        <w:ind w:left="720"/>
      </w:pPr>
      <w:r>
        <w:t xml:space="preserve">If Employee is a broadcast employee of a broadcasting-industry employer, this agreement does not impose, and no provision of this agreement may be enforced as, a post-employment restriction on Employee obtaining employment in any geographic area, for any period of time, or with any employer or in any industry. This exclusion applies only after Employee's employment concludes; it does not affect any covenant that operates during the term of Employee's employment.</w:t>
      </w:r>
    </w:p>
    <w:p>
      <w:pPr>
        <w:pStyle w:val="OABody"/>
        <w:keepNext/>
        <w:numPr>
          <w:ilvl w:val="0"/>
          <w:numId w:val="1"/>
        </w:numPr>
        <w:spacing w:before="320" w:after="120" w:line="340" w:lineRule="auto"/>
        <w:jc w:val="left"/>
      </w:pPr>
      <w:r>
        <w:rPr>
          <w:b/>
          <w:bCs/>
        </w:rPr>
        <w:t xml:space="preserve">Sale-of-Business and Goodwill Covenants</w:t>
      </w:r>
    </w:p>
    <w:p>
      <w:pPr>
        <w:pStyle w:val="OABody"/>
        <w:spacing w:before="0" w:after="120" w:line="340" w:lineRule="auto"/>
        <w:ind w:left="720"/>
      </w:pPr>
      <w:r>
        <w:t xml:space="preserve">Where a restraint in this agreement arises from Employee's sale of a business and its goodwill, that restraint bars Employee from soliciting the customers of the business sold and does not bar Employee from accepting the patronage of a customer who chooses to leave without solicitation by Employee.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so that the full duration of the restriction runs from the date the breach ends. Any extension under this section is limited to the period of the breach; the parties do not intend any open-ended or indefinite extension.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that Employer may seek injunctive or other equitable relief in addition to any other remedies available at law. Any fee-shifting between the parties under this agreement is mutual and prevailing-party based.</w:t>
      </w:r>
    </w:p>
    <w:p>
      <w:pPr>
        <w:pStyle w:val="OABody"/>
        <w:keepNext/>
        <w:numPr>
          <w:ilvl w:val="0"/>
          <w:numId w:val="1"/>
        </w:numPr>
        <w:spacing w:before="320" w:after="120" w:line="340" w:lineRule="auto"/>
        <w:jc w:val="left"/>
      </w:pPr>
      <w:r>
        <w:rPr>
          <w:b/>
          <w:bCs/>
        </w:rPr>
        <w:t xml:space="preserve">Reasonable Scope and Severability</w:t>
      </w:r>
    </w:p>
    <w:p>
      <w:pPr>
        <w:pStyle w:val="OABody"/>
        <w:spacing w:before="0" w:after="120" w:line="340" w:lineRule="auto"/>
        <w:ind w:left="720"/>
      </w:pPr>
      <w:r>
        <w:t xml:space="preserve">If any provision of this agreement is found to be unenforceable, it is severed and the remaining provisions remain in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for that covenant. Obligations under the Confidential Information and Trade Secret Protection section survive for as long as the relevant information remains a trade secret, and for the period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(New York)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