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Covenant Timing</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{covenant_timing}</w:t>
            </w:r>
          </w:p>
        </w:tc>
      </w:tr>
      <w:tr>
        <w:tc>
          <w:tcPr>
            <w:tcW w:w="3600" w:type="dxa"/>
            <w:tcMar>
              <w:top w:w="60" w:type="dxa"/>
              <w:left w:w="0" w:type="dxa"/>
              <w:bottom w:w="60" w:type="dxa"/>
              <w:right w:w="0" w:type="dxa"/>
            </w:tcMar>
          </w:tcPr>
          <w:p>
            <w:r>
              <w:rPr>
                <w:rFonts w:ascii="Arial" w:hAnsi="Arial" w:cs="Arial"/>
                <w:b/>
                <w:bCs/>
                <w:color w:val="1D2021"/>
                <w:sz w:val="22"/>
                <w:szCs w:val="22"/>
              </w:rPr>
              <w:t xml:space="preserve">Consideration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{independent_consideration}</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rPr>
                <w:rFonts w:ascii="Arial" w:hAnsi="Arial" w:cs="Arial"/>
                <w:b/>
                <w:bCs/>
                <w:color w:val="1D2021"/>
                <w:sz w:val="22"/>
                <w:szCs w:val="22"/>
              </w:rPr>
              <w:t xml:space="preserve">Venue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{venue}</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Covered Employee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{covered_employee_period}</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Covered Customer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{covered_customer_period}</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information that arises from Employee's general skills, knowledge, training, or experience whether gained on the job or otherwise, information that is readily ascertainable to the public, and information Employee otherwise has a right to disclose as legally protected conduct.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Trade Secrets, Confidential Information, and goodwill in customer and referral relationships with which Employee had material contact.</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initiate contact with,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the New Mexico Uniform Trade Secrets Act, NMSA 1978, § 57-3A-2(D), and applicable federal law, meaning information that derives independent economic value, actual or potential, from not being generally known to and not being readily ascertainable by proper means by other persons who can obtain economic value from its disclosure or use, and that is the subject of efforts that are reasonable under the circumstances to maintain its secrecy (see also the federal Defend Trade Secrets Act, 18 U.S.C. § 1839(3)).</w:t>
      </w:r>
    </w:p>
    <w:p>
      <w:pPr>
        <w:pStyle w:val="OABody"/>
        <w:keepNext/>
        <w:numPr>
          <w:ilvl w:val="0"/>
          <w:numId w:val="1"/>
        </w:numPr>
        <w:spacing w:before="320" w:after="120" w:line="340" w:lineRule="auto"/>
        <w:jc w:val="left"/>
      </w:pPr>
      <w:r>
        <w:rPr>
          <w:b/>
          <w:bCs/>
        </w:rPr>
        <w:t xml:space="preserve">Recitals and Protectable Interest</w:t>
      </w:r>
    </w:p>
    <w:p>
      <w:pPr>
        <w:pStyle w:val="OABody"/>
        <w:spacing w:before="0" w:after="120" w:line="340" w:lineRule="auto"/>
        <w:ind w:left="720"/>
      </w:pPr>
      <w:r>
        <w:t xml:space="preserve">Employee will receive access to Employer's Trade Secrets, Confidential Information, and customer and referral goodwill in the course of employment. Employer and Employee acknowledge that the restrictive covenants in this agreement protect those interests.</w:t>
      </w:r>
    </w:p>
    <w:p>
      <w:pPr>
        <w:pStyle w:val="OABody"/>
        <w:keepNext/>
        <w:numPr>
          <w:ilvl w:val="0"/>
          <w:numId w:val="1"/>
        </w:numPr>
        <w:spacing w:before="320" w:after="120" w:line="340" w:lineRule="auto"/>
        <w:jc w:val="left"/>
      </w:pPr>
      <w:r>
        <w:rPr>
          <w:b/>
          <w:bCs/>
        </w:rPr>
        <w:t xml:space="preserve">Timing and Consideration</w:t>
      </w:r>
    </w:p>
    <w:p>
      <w:pPr>
        <w:pStyle w:val="OABody"/>
        <w:spacing w:before="0" w:after="120" w:line="340" w:lineRule="auto"/>
        <w:ind w:left="720"/>
      </w:pPr>
      <w:r>
        <w:t xml:space="preserve">This agreement is effective as of the Effective Date listed in Cover Terms and is entered into at the timing described in Cover Terms under Covenant Timing. If Employee signs this agreement as a condition of the initial offer of employment, the offer of employment is the consideration. If Employee signs after employment has begun, the new, bargained-for consideration stated in Cover Terms under Consideration is exchanged for the covenants and is separate from continued at-will employment. Employee may consult an attorney before entering into this agreement.</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which is intended to last as long as the information remains a trade secret. Employee's obligations regarding other Confidential Information continue for the period specified in Cover Terms under Other Confidential Information Duration. This section does not prohibit Employee from using or disclosing information that arises from Employee's general skills, knowledge, training, or experience, whether gained on the job or otherwise, information that is readily ascertainable to the public, or information that Employee otherwise has a right to disclose as legally protected conduct.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(e) using or disclosing information that arises from Employee's general skills, knowledge, training, or experience, information readily ascertainable to the public, or information Employee otherwise has a right to disclose as legally protected conduct; or (f)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If Employee is a covered health-care practitioner, this covenant ends no later than one year after Employee's last date of employment.</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applies only to customers Employee actually served during the covered look-back window. If the Health-Care Practitioner Non-Compete Exclusion applies to Employee, a non-solicitation provision concerning patients ends no later than one year after Employee's last date of employment.</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whether Employee or the Covered Customer initiates contact. If Employee is a covered health-care practitioner, any restriction on dealing with patients ends no later than one year after Employee's last date of employment.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does not apply to Employee to the extent stated in the Health-Care Practitioner Non-Compete Exclusion section.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This covenant does not apply to Employee to the extent stated in the Health-Care Practitioner Non-Compete Exclusion section.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working conditions as protected by law, or otherwise exercising rights protected by law.</w:t>
      </w:r>
    </w:p>
    <w:p>
      <w:r>
        <w:t xml:space="preserve">{IF healthcare_provider}</w:t>
      </w:r>
    </w:p>
    <w:p>
      <w:pPr>
        <w:pStyle w:val="OABody"/>
        <w:keepNext/>
        <w:numPr>
          <w:ilvl w:val="0"/>
          <w:numId w:val="1"/>
        </w:numPr>
        <w:spacing w:before="320" w:after="120" w:line="340" w:lineRule="auto"/>
        <w:jc w:val="left"/>
      </w:pPr>
      <w:r>
        <w:rPr>
          <w:b/>
          <w:bCs/>
        </w:rPr>
        <w:t xml:space="preserve">Health-Care Practitioner Non-Compete Exclusion and Preserved Provisions</w:t>
      </w:r>
    </w:p>
    <w:p>
      <w:pPr>
        <w:pStyle w:val="OABody"/>
        <w:numPr>
          <w:ilvl w:val="1"/>
          <w:numId w:val="1"/>
        </w:numPr>
        <w:spacing w:before="0" w:after="120" w:line="340" w:lineRule="auto"/>
      </w:pPr>
      <w:r>
        <w:t xml:space="preserve">If Cover Terms state that the Health-Care Practitioner Non-Compete Exclusion applies to Employee, no non-compete provision in this agreement restricts Employee's right to provide clinical health-care services in New Mexico after this agreement, any renewal or extension of this agreement, or Employee's employment ends. This exclusion does not apply if Cover Terms state that Employee enters this agreement as a shareholder, owner, partner, or director of a health-care practice with other health-care practitioners.</w:t>
      </w:r>
    </w:p>
    <w:p>
      <w:pPr>
        <w:pStyle w:val="OABody"/>
        <w:numPr>
          <w:ilvl w:val="1"/>
          <w:numId w:val="1"/>
        </w:numPr>
        <w:spacing w:before="0" w:after="120" w:line="340" w:lineRule="auto"/>
      </w:pPr>
      <w:r>
        <w:t xml:space="preserve">The Health-Care Practitioner Non-Compete Exclusion does not limit Employee's nondisclosure obligations concerning Confidential Information and Trade Secrets. Any non-solicitation obligation concerning Employer's patients or employees ends no later than one year after Employee's last date of employment. If Employee worked for Employer for less than three years, Employee must repay only the portion stated in Cover Terms of any loan, relocation expense, signing bonus, recruiting expense, education expense, or training expense that Employer provided to induce Employee to relocate or establish a health-care practice in a specified geographic area. Any liquidated damages payable under this agreement are limited to the amount stated in Cover Terms.</w:t>
      </w:r>
    </w:p>
    <w:p>
      <w:r>
        <w:t xml:space="preserve">{END-IF}</w:t>
      </w:r>
    </w:p>
    <w:p>
      <w:pPr>
        <w:pStyle w:val="OABody"/>
        <w:keepNext/>
        <w:numPr>
          <w:ilvl w:val="0"/>
          <w:numId w:val="1"/>
        </w:numPr>
        <w:spacing w:before="320" w:after="120" w:line="340" w:lineRule="auto"/>
        <w:jc w:val="left"/>
      </w:pPr>
      <w:r>
        <w:rPr>
          <w:b/>
          <w:bCs/>
        </w:rPr>
        <w:t xml:space="preserve">Sale-of-Business Covenants</w:t>
      </w:r>
    </w:p>
    <w:p>
      <w:pPr>
        <w:pStyle w:val="OABody"/>
        <w:spacing w:before="0" w:after="120" w:line="340" w:lineRule="auto"/>
        <w:ind w:left="720"/>
      </w:pPr>
      <w:r>
        <w:t xml:space="preserve">If any covenant in this agreement is ancillary to the purchase and sale of a business or its assets, that covenant applies for the duration and within the territory stated in Cover Terms. The consideration for that covenant is the purchase consideration stated in Cover Terms.</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 prospective employer or business associate of Employee only where a covenant in this agreement is enforceable against Employee and Employer has a reasonable belief that Employee may breach that covenant. Employee consents to a disclosure permitted by this section.</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The Restricted Period for each covenant runs from the date Employee's employment ends and is not tolled or extended.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Employer may seek injunctive or other equitable relief in addition to any other remedies available at law. Any fee-shifting between the parties is mutual and prevailing-party based. Otherwise, each party bears its own attorney's fees and costs.</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as long as the relevant information remains a trade secret. For a covered health-care practitioner, the surviving patient and employee non-solicitation obligations do not exceed one year after the last date of employment (NMSA 1978, § 24A-4-3(C)).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under Governing Law, and disputes are resolved in the forum listed in Cover Terms under Venue, subject to non-waivable rights under applicable law. If Employee provides clinical health-care services in New Mexico, New Mexico law governs this agreement and disputes must be resolved in New Mexico.</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Mexico)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Mexico)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Mexico)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