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New Jersey</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provided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and the general knowledge, skill, and experience Employee acquired during employment.</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Trade Secrets, Confidential Information, and customer relationships.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qualifying as a trade secret under applicable law.</w:t>
      </w:r>
    </w:p>
    <w:p>
      <w:pPr>
        <w:pStyle w:val="OABody"/>
        <w:keepNext/>
        <w:numPr>
          <w:ilvl w:val="0"/>
          <w:numId w:val="1"/>
        </w:numPr>
        <w:spacing w:before="320" w:after="120" w:line="340" w:lineRule="auto"/>
        <w:jc w:val="left"/>
      </w:pPr>
      <w:r>
        <w:rPr>
          <w:b/>
          <w:bCs/>
        </w:rPr>
        <w:t xml:space="preserve">Recitals and Legitimate Interests</w:t>
      </w:r>
    </w:p>
    <w:p>
      <w:pPr>
        <w:pStyle w:val="OABody"/>
        <w:spacing w:before="0" w:after="120" w:line="340" w:lineRule="auto"/>
        <w:ind w:left="720"/>
      </w:pPr>
      <w:r>
        <w:t xml:space="preserve">Employer and Employee acknowledge that each restrictive covenant in this agreement protects one or more of Employer's Protected Interests, including Employer's trade secrets, confidential business information, and customer relationships. The parties acknowledge that Employer would not provide Employee with access to these Protected Interests absent the protections in this agreement. Employer and Employee acknowledge that the covenants are reasonable in time, territory, and scope.</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The parties acknowledge that this agreement is supported by adequate consideration. If Employee is an existing employee, the consideration is the continuation of Employee's employment. If this agreement is signed at the outset of employment, the consideration is the offer and commencement of employment. Employee acknowledges having had the opportunity to consult with independent legal counsel before signing this agreement.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This confidentiality obligation is intended to operate alongside, and independent of, any restrictive covenant, and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This covenant reaches only Covered Employees during the Restricted Period and is no broader than necessary to protect Employer's workforce stability and customer relationships.</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reaches only Covered Customers with whom Employee had material contact and is no broader than necessary to protect Employer's customer relationships.</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with whom Employee had material contact, whether Employee or the Covered Customer initiates contact.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If Employer has identified specific competitors in Cover Terms under Specified Competitors, this covenant is limited to those named competitors.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exercising rights protected by law, or disclosing details relating to a claim of discrimination, retaliation, or harassment.</w:t>
      </w:r>
    </w:p>
    <w:p>
      <w:pPr>
        <w:pStyle w:val="OABody"/>
        <w:keepNext/>
        <w:numPr>
          <w:ilvl w:val="0"/>
          <w:numId w:val="1"/>
        </w:numPr>
        <w:spacing w:before="320" w:after="120" w:line="340" w:lineRule="auto"/>
        <w:jc w:val="left"/>
      </w:pPr>
      <w:r>
        <w:rPr>
          <w:b/>
          <w:bCs/>
        </w:rPr>
        <w:t xml:space="preserve">Discrimination, Retaliation, and Harassment Claims Not Concealed</w:t>
      </w:r>
    </w:p>
    <w:p>
      <w:pPr>
        <w:pStyle w:val="OABody"/>
        <w:spacing w:before="0" w:after="120" w:line="340" w:lineRule="auto"/>
        <w:ind w:left="720"/>
      </w:pPr>
      <w:r>
        <w:t xml:space="preserve">This section does not limit any covenant not to compete or obligation not to disclose proprietary information.</w:t>
      </w:r>
    </w:p>
    <w:p>
      <w:pPr>
        <w:pStyle w:val="OABody"/>
        <w:keepNext/>
        <w:numPr>
          <w:ilvl w:val="0"/>
          <w:numId w:val="1"/>
        </w:numPr>
        <w:spacing w:before="320" w:after="120" w:line="340" w:lineRule="auto"/>
        <w:jc w:val="left"/>
      </w:pPr>
      <w:r>
        <w:rPr>
          <w:b/>
          <w:bCs/>
        </w:rPr>
        <w:t xml:space="preserve">No Practice Restrictions for Lawyers</w:t>
      </w:r>
    </w:p>
    <w:p>
      <w:pPr>
        <w:pStyle w:val="OABody"/>
        <w:spacing w:before="0" w:after="120" w:line="340" w:lineRule="auto"/>
        <w:ind w:left="720"/>
      </w:pPr>
      <w:r>
        <w:t xml:space="preserve">If Employee is a lawyer, no provision of this agreement restricts Employee's right to practice law after the relationship ends, apart from an agreement concerning benefits upon retirement.</w:t>
      </w:r>
    </w:p>
    <w:p>
      <w:pPr>
        <w:pStyle w:val="OABody"/>
        <w:keepNext/>
        <w:numPr>
          <w:ilvl w:val="0"/>
          <w:numId w:val="1"/>
        </w:numPr>
        <w:spacing w:before="320" w:after="120" w:line="340" w:lineRule="auto"/>
        <w:jc w:val="left"/>
      </w:pPr>
      <w:r>
        <w:rPr>
          <w:b/>
          <w:bCs/>
        </w:rPr>
        <w:t xml:space="preserve">No Client-Access Restrictions for Psychologists</w:t>
      </w:r>
    </w:p>
    <w:p>
      <w:pPr>
        <w:pStyle w:val="OABody"/>
        <w:spacing w:before="0" w:after="120" w:line="340" w:lineRule="auto"/>
        <w:ind w:left="720"/>
      </w:pPr>
      <w:r>
        <w:t xml:space="preserve">If Employee is a licensed psychologist, no provision of this agreement interferes with or restricts a client's ability to see or continue to see the therapist of the client's choice.</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If Employee is a physician, no covenant prohibits Employee from continuing care for an existing patient or complying with applicable patient-notification and access requirements.</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 Any such disclosure is kept factual and tied to the covenant's actual terms.</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up to the original Restricted Period.</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 The parties intend that the governing-law and venue choices match where Employee actually lives and works.</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(New Jersey)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(New Jersey)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(New Jersey)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