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Consideration for Restrictive Covenants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{new_hampshire_consideration}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and patient lists, pricing, business methods, technical data, and strategic plans, but excluding information that becomes public through no fault of Employee and excluding Employee's general skill, knowledge, and experience in the industry.</w:t>
      </w:r>
    </w:p>
    <w:p>
      <w:pPr>
        <w:pStyle w:val="OABody"/>
        <w:numPr>
          <w:ilvl w:val="1"/>
          <w:numId w:val="1"/>
        </w:numPr>
        <w:spacing w:before="0" w:after="120" w:line="340" w:lineRule="auto"/>
      </w:pPr>
      <w:r>
        <w:rPr>
          <w:b/>
          <w:bCs/>
          <w:color w:val="117086"/>
        </w:rPr>
        <w:t xml:space="preserve">“Covered Customers”</w:t>
      </w:r>
      <w:r>
        <w:t xml:space="preserve"> means customers, patients,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customer relationships, business contacts, goodwill, and other legitimate business interests disclosed to or developed by Employee during employment.</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Confidential Information that derives economic value from not being generally known or readily ascertainable and that Employer takes reasonable measures to protect.</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Employee will receive access to Employer's Protected Interests and that the restrictive covenants in this agreement protect those interests. Employer would not provide Employee with that access absent the protections in this agreement.</w:t>
      </w:r>
    </w:p>
    <w:p>
      <w:pPr>
        <w:pStyle w:val="OABody"/>
        <w:keepNext/>
        <w:numPr>
          <w:ilvl w:val="0"/>
          <w:numId w:val="1"/>
        </w:numPr>
        <w:spacing w:before="320" w:after="120" w:line="340" w:lineRule="auto"/>
        <w:jc w:val="left"/>
      </w:pPr>
      <w:r>
        <w:rPr>
          <w:b/>
          <w:bCs/>
        </w:rPr>
        <w:t xml:space="preserve">Timing, Consideration, and Pre-Acceptance Delivery</w:t>
      </w:r>
    </w:p>
    <w:p>
      <w:pPr>
        <w:pStyle w:val="OABody"/>
        <w:spacing w:before="0" w:after="120" w:line="340" w:lineRule="auto"/>
        <w:ind w:left="720"/>
      </w:pPr>
      <w:r>
        <w:t xml:space="preserve">This agreement is effective as of the Effective Date listed in Cover Terms and is supported by </w:t>
      </w:r>
      <w:r>
        <w:rPr>
          <w:highlight w:val="yellow"/>
        </w:rPr>
        <w:t xml:space="preserve">{new_hampshire_consideration}</w:t>
      </w:r>
      <w:r>
        <w:t xml:space="preserve">. Employee acknowledges that continued employment after signing this agreement constitutes consideration for the restrictive covenants. If Employee is a new hire required to sign the noncompete as a condition of employment, Employee acknowledges receiving this agreement before accepting Employer's offer of employment. Employer has given Employee a reasonable opportunity to review this agreement and to consult an attorney before signing.</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as long as the information remains a trade secret. Employee's obligations regarding other Confidential Information continue for the period specified in Cover Terms. These obligations are in addition to any rights or remedies available under applicable law and apply regardless of where Employee works.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making disclosures required by law, court order, or a government investigation;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Patients, Vendors, Referral Sources, and Business Partners</w:t>
      </w:r>
    </w:p>
    <w:p>
      <w:pPr>
        <w:pStyle w:val="OABody"/>
        <w:spacing w:before="0" w:after="120" w:line="340" w:lineRule="auto"/>
        <w:ind w:left="720"/>
      </w:pPr>
      <w:r>
        <w:t xml:space="preserve">During the Restricted Period, Employee must not Solicit the business of any Covered Customer with whom Employee had material contact or responsibility during the applicable lookback period.</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whether Employee or the Covered Customer initiates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Employee earns an hourly rate at or below 200 percent of the federal minimum wage. If Employee is a new hire required to sign as a condition of employment, this covenant applies only if Employee received this agreement before accepting Employer's offer.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This restriction does not apply if Employee earns an hourly rate at or below 200 percent of the federal minimum wage. If Employee is a new hire required to sign as a condition of employment, this restriction applies only if Employee received this agreement before accepting Employer's offer.</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the right to discuss wages, hours, and other terms and conditions of employment under Section 7 of the National Labor Relations Act.</w:t>
      </w:r>
    </w:p>
    <w:p>
      <w:pPr>
        <w:pStyle w:val="OABody"/>
        <w:keepNext/>
        <w:numPr>
          <w:ilvl w:val="0"/>
          <w:numId w:val="1"/>
        </w:numPr>
        <w:spacing w:before="320" w:after="120" w:line="340" w:lineRule="auto"/>
        <w:jc w:val="left"/>
      </w:pPr>
      <w:r>
        <w:rPr>
          <w:b/>
          <w:bCs/>
        </w:rPr>
        <w:t xml:space="preserve">Clinician Geographic-Practice Carve-Out</w:t>
      </w:r>
    </w:p>
    <w:p>
      <w:pPr>
        <w:pStyle w:val="OABody"/>
        <w:spacing w:before="0" w:after="120" w:line="340" w:lineRule="auto"/>
        <w:ind w:left="720"/>
      </w:pPr>
      <w:r>
        <w:t xml:space="preserve">Notwithstanding any other provision, this agreement does not restrict a New Hampshire physician, nurse, advanced practice registered nurse, or podiatrist from practicing in any geographic area after the applicable employment or professional relationship ends. All other obligations remain in effect.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if Employer reasonably believes Employee may breach this agreement. Employee consents to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that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under Governing Law.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Hampshire)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Hampshire)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Hampshire)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