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Nevada</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business methods, customer lists, secret formulas or processes, pricing,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customer relationships, workforce stability, and goodwill.</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 subject to the continued-pay condition in the Post-Restructuring Enforcement section for any restructuring termination.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 and does not include providing service to a former customer or client who, without any contact instigated by Employee, voluntarily chose to leave Employer and seek Employee's services.</w:t>
      </w:r>
    </w:p>
    <w:p>
      <w:pPr>
        <w:pStyle w:val="OABody"/>
        <w:numPr>
          <w:ilvl w:val="1"/>
          <w:numId w:val="1"/>
        </w:numPr>
        <w:spacing w:before="0" w:after="120" w:line="340" w:lineRule="auto"/>
      </w:pPr>
      <w:r>
        <w:rPr>
          <w:b/>
          <w:bCs/>
          <w:color w:val="117086"/>
        </w:rPr>
        <w:t xml:space="preserve">“Trade Secrets”</w:t>
      </w:r>
      <w:r>
        <w:t xml:space="preserve"> has the meaning given in the Nevada Uniform Trade Secrets Act, NRS 600A.030.</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Employee will receive access to Employer's Protected Interests and that the restrictive covenants in this agreement protect those interests. Employer would not provide Employee with that access absent the protections in this agreement.</w:t>
      </w:r>
    </w:p>
    <w:p>
      <w:pPr>
        <w:pStyle w:val="OABody"/>
        <w:keepNext/>
        <w:numPr>
          <w:ilvl w:val="0"/>
          <w:numId w:val="1"/>
        </w:numPr>
        <w:spacing w:before="320" w:after="120" w:line="340" w:lineRule="auto"/>
        <w:jc w:val="left"/>
      </w:pPr>
      <w:r>
        <w:rPr>
          <w:b/>
          <w:bCs/>
        </w:rPr>
        <w:t xml:space="preserve">Timing, Consideration, and Right to Consult Counsel</w:t>
      </w:r>
    </w:p>
    <w:p>
      <w:pPr>
        <w:pStyle w:val="OABody"/>
        <w:spacing w:before="0" w:after="120" w:line="340" w:lineRule="auto"/>
        <w:ind w:left="720"/>
      </w:pPr>
      <w:r>
        <w:t xml:space="preserve">The parties agree that this agreement is supported by valuable consideration, namely </w:t>
      </w:r>
      <w:r>
        <w:rPr>
          <w:b w:val="0"/>
          <w:bCs w:val="0"/>
        </w:rPr>
        <w:t xml:space="preserve">the compensation, access to Confidential Information, and other benefits Employer provides to Employee under this agreement, which the parties agree are given in exchange for, and are appropriate in relation to, the restrictive covenants</w:t>
      </w:r>
      <w:r>
        <w:t xml:space="preserve">. Employer has advised Employee that Employee may consult with an attorney of Employee's choosing before entering into this agreement, and Employee acknowledges having had a reasonable opportunity to do so.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as long as the information remains a Trade Secret. Employee's obligations regarding other Confidential Information continue for the period specified in Cover Terms. This covenant does not restrict Employee from working elsewhere.</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is drawn no broader than necessary to protect Employer's workforce stability and does not operate as a bar on any former colleague obtaining employment elsewhere.</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Employee may provide services to a former customer or client whom Employee did not solicit and who voluntarily chose to leave Employer and seek Employee's services, subject to the covenant's stated limits on time, geographical area, and scope of activity.</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This covenant does not restrict Employee from providing service to a former customer or client whom Employee did not solicit and who voluntarily chose to leave Employer and seek Employee's services without any contact instigated by Employee.</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does not apply to any Employee who is paid solely on an hourly wage basis, exclusive of any tips or gratuities. It also does not prohibit Employee from providing service to a former customer or client whom Employee did not solicit and who voluntarily chose to leave Employer and seek Employee's services without any contact instigated by Employee. The Post-Restructuring Enforcement section also applies.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 This covenant does not apply to an Employee paid solely on an hourly wage basis, exclusive of tips or gratuities, and is subject to the Post-Restructuring Enforcement section.</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pPr>
        <w:pStyle w:val="OABody"/>
        <w:keepNext/>
        <w:numPr>
          <w:ilvl w:val="0"/>
          <w:numId w:val="1"/>
        </w:numPr>
        <w:spacing w:before="320" w:after="120" w:line="340" w:lineRule="auto"/>
        <w:jc w:val="left"/>
      </w:pPr>
      <w:r>
        <w:rPr>
          <w:b/>
          <w:bCs/>
        </w:rPr>
        <w:t xml:space="preserve">Hourly-Worker Exclusion and Post-Restructuring Enforcement</w:t>
      </w:r>
    </w:p>
    <w:p>
      <w:pPr>
        <w:pStyle w:val="OABody"/>
        <w:numPr>
          <w:ilvl w:val="1"/>
          <w:numId w:val="1"/>
        </w:numPr>
        <w:spacing w:before="0" w:after="120" w:line="340" w:lineRule="auto"/>
      </w:pPr>
      <w:r>
        <w:t xml:space="preserve">Notwithstanding any other provision of this agreement, no covenant not to compete in this agreement applies to, and each is void and unenforceable against, an Employee who is paid solely on an hourly wage basis, exclusive of any tips or gratuities (NRS 613.195(3)). This exclusion applies regardless of the consideration provided, the tailoring of the restraint, or any acknowledgement by Employee.</w:t>
      </w:r>
    </w:p>
    <w:p>
      <w:pPr>
        <w:pStyle w:val="OABody"/>
        <w:numPr>
          <w:ilvl w:val="1"/>
          <w:numId w:val="1"/>
        </w:numPr>
        <w:spacing w:before="0" w:after="120" w:line="340" w:lineRule="auto"/>
      </w:pPr>
      <w:r>
        <w:t xml:space="preserve">If the termination of Employee's employment is the result of a reduction of force, reorganization, or similar restructuring of Employer, then each covenant not to compete in this agreement is enforceable only during the period in which Employer is paying Employee's salary, benefits, or equivalent compensation, including, without limitation, severance pay (NRS 613.195(5)). For such a termination, the Restricted Period runs no longer than the period for which that pay actually continues.</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 including any restrictive covenant with a prior employer that may have been assigned to a successor without Employee's consent.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 prospective employer or business associate of Employee only where Employer has a reasonable, good-faith belief that Employee is likely to breach a covenant that is itself valid and enforceable under NRS 613.195. Employer will not use any such notice to willfully prevent Employee from obtaining employment elsewhere in Nevada. Employee consents to a disclosure made within these limits.</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up to the original duration of that covenant.</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subject to NRS 613.195 and other applicable law, Employer may seek temporary and permanent injunctive relief and any other appropriate remedy available at law or in equity. If Employer brings an action to enforce a covenant not to compete in this agreement, or Employee brings an action to challenge one, and the court finds either that the covenant applies to Employee while Employee is paid solely on an hourly wage basis, exclusive of any tips or gratuities, or that Employer has restricted or attempted to restrict Employee from providing service to a former customer or client in the circumstances described in NRS 613.195(2), the court shall award Employee reasonable attorney's fees and costs in accordance with NRS 613.195(7).</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and each covenant's survival is independent of the others.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 affiliate or a successor that acquires Employer's business through a statutory merger. Employer may assign a covenant not to compete or not to solicit in connection with an asset sale only with Employee's express consent, supported by additional valuable consideration.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including NRS 613.195 and NRS 613.200 where Nevada law applies.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any amendment that tightens a restrictive covenant must state the additional valuable consideration given for the new restriction.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(Nevada)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(Nevada)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(Nevada)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