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clients and accounts of Employer with whom Employee actually did business and had personal contact during the </w:t>
      </w:r>
      <w:r>
        <w:rPr>
          <w:highlight w:val="yellow"/>
        </w:rPr>
        <w:t xml:space="preserve">{covered_customer_period}</w:t>
      </w:r>
      <w:r>
        <w:t xml:space="preserve"> before termination of employment. This definition does not reach clients or accounts the Employee did not personally serve, and it does not reach prospective customers.</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the customer relationships Employee personally served.</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Nebraska Trade Secrets Act, Neb. Rev. Stat. § 87-502(4).</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intended to protect one or more of Employer's Protected Interests and to impose no restraint greater than is reasonably necessary for that protection. The parties acknowledge that each covenant is meant to guard Employer's Confidential Information, trade secrets, and goodwill in the customer relationships Employee personally served — not to eliminate ordinary competition — and that Employer would not provide Employee with access to these Protected Interests absent the protections in this agreement. Each covenant is intended to be reasonable and no greater than necessary as written, and to stand on its own.</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Employee acknowledges that this agreement is supported by adequate consideration and that Employee has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no broader than necessary to protect Employer's workforce stability and goodwill.</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Personally Served Customers</w:t>
      </w:r>
    </w:p>
    <w:p>
      <w:pPr>
        <w:pStyle w:val="OABody"/>
        <w:spacing w:before="0" w:after="120" w:line="340" w:lineRule="auto"/>
        <w:ind w:left="720"/>
      </w:pPr>
      <w:r>
        <w:t xml:space="preserve">During the Restricted Period specified in Cover Terms for Customer Non-Solicitation, Employee must not Solicit the business of any Covered Customer. This covenant applies only to clients and accounts Employee actually did business with and personally contacted, and does not apply to prospective customers or clients Employee never personally served.</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specified in Cover Terms for No Business with Covered Customers, Employee must not accept, service, or do business with any Covered Customer, regardless of whether Employee or the Covered Customer first initiated contact. This restriction applies only to clients and accounts with which Employee actually did business and had personal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specified in Cover Terms for Non-Competition, Employee must not, on behalf of a Competitive Business, solicit, work for, service, or do business with any Covered Customer. This covenant applies only to customers Employee personally served. If Employer has identified specific competitors in Cover Terms under Specified Competitors, this covenant applies only to Employee's activities on behalf of those named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specified in Cover Terms for Non-Investment, Employee must not acquire or hold any active ownership interest in, serve as a director, officer, manager, or advisor to, or have material economic participation in any Competitive Business insofar as that role would enable Employee to solicit, service, or do business with a Covered Customer.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any covenant in this agreement restraining Employee applies only to patients Employee personally served and does not prohibit patients from choosing a provider or obtaining continuity of care.</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 including any covenant from a prior employer.</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Any such notice must be limited to the covenants as written and to Covered Customers Employee personally served.</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a maximum extension equal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Each party bears its own attorney's fees and costs unless applicable law or a court order provides otherwise.</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Each restrictive covenant in this agreement is a separate, self-contained unit with its own scope, duration, and survival. Each covenant is scoped to the customers Employee personally served, is independently enforceable as written, and can fall alone without affecting the remaining covenants.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on its own definite schedule and is read on its own.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Any successor's right to enforce a covenant is no greater than Employer's.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Any amendment widening a covenant must state the changed covenant, its effective date, and the supporting consideration.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(Nebraska)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(Nebraska)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(Nebraska)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