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Consideration for Restrictive Covenants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{montana_consideration}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the Employee actually served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actually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and trade secrets, its relationships with specific customers, patients, and referral sources, its workforce stability, and its goodwill, limited to interests that protect against more than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and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or computer software that derives independent economic value from not being generally known or readily ascertainable and is the subject of reasonable efforts to maintain its secrecy.</w:t>
      </w:r>
    </w:p>
    <w:p>
      <w:pPr>
        <w:pStyle w:val="OABody"/>
        <w:keepNext/>
        <w:numPr>
          <w:ilvl w:val="0"/>
          <w:numId w:val="1"/>
        </w:numPr>
        <w:spacing w:before="320" w:after="120" w:line="340" w:lineRule="auto"/>
        <w:jc w:val="left"/>
      </w:pPr>
      <w:r>
        <w:rPr>
          <w:b/>
          <w:bCs/>
        </w:rPr>
        <w:t xml:space="preserve">Recitals and Partial-Restraint Basis</w:t>
      </w:r>
    </w:p>
    <w:p>
      <w:pPr>
        <w:pStyle w:val="OABody"/>
        <w:spacing w:before="0" w:after="120" w:line="340" w:lineRule="auto"/>
        <w:ind w:left="720"/>
      </w:pPr>
      <w:r>
        <w:t xml:space="preserve">Employee acknowledges that the covenants protect Employer's Protected Interests and are supported by consideration. Employer would not provide Employee with access to its Protected Interests absent these covenants.</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had a reasonable opportunity to consult with an attorney of Employee's choosing before entering into this agreement. The consideration for the restrictive covenants is </w:t>
      </w:r>
      <w:r>
        <w:rPr>
          <w:highlight w:val="yellow"/>
        </w:rPr>
        <w:t xml:space="preserve">{montana_consideration}</w:t>
      </w:r>
      <w:r>
        <w:t xml:space="preserve">, given in exchange for those covenants.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making disclosures required by law, court order, or a government investigation, with notice to Employer where lawful;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This certification records, as of its date, what Employee retained and what Employee returned or deleted.</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Specified Competitors are named in Cover Terms, this covenant binds only those named competitors. Passive Public Holdings are permitted. This covenant does not apply to an Employee covered by the Health-Care Provider Restrictions section.</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to an Employee covered by the Health-Care Provider Restrictions section.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Section 7 of the National Labor Relations Act.</w:t>
      </w:r>
    </w:p>
    <w:p>
      <w:r>
        <w:t xml:space="preserve">{IF healthcare_provider}</w:t>
      </w:r>
    </w:p>
    <w:p>
      <w:pPr>
        <w:pStyle w:val="OABody"/>
        <w:keepNext/>
        <w:numPr>
          <w:ilvl w:val="0"/>
          <w:numId w:val="1"/>
        </w:numPr>
        <w:spacing w:before="320" w:after="120" w:line="340" w:lineRule="auto"/>
        <w:jc w:val="left"/>
      </w:pPr>
      <w:r>
        <w:rPr>
          <w:b/>
          <w:bCs/>
        </w:rPr>
        <w:t xml:space="preserve">Health-Care Provider Restrictions</w:t>
      </w:r>
    </w:p>
    <w:p>
      <w:pPr>
        <w:pStyle w:val="OABody"/>
        <w:spacing w:before="0" w:after="120" w:line="340" w:lineRule="auto"/>
        <w:ind w:left="720"/>
      </w:pPr>
      <w:r>
        <w:t xml:space="preserve">If Employee is a psychologist, social worker, professional counselor, addiction counselor, marriage and family therapist, behavioral health peer support specialist, or other covered health-care provider, this agreement does not restrict Employee's right, after the professional relationship ends, to (a) practice or provide licensed services in any geographic area and for any period; (b) treat, advise, consult with, or establish a provider-patient relationship with any current patient of Employer; or (c) solicit or seek to establish a provider-patient relationship with any such patient. This exclusion does not apply to a covenant made in connection with the sale of a practice or, for a physician, a repayment obligation for money paid or advanced under a payback schedule that decreases over time.</w:t>
      </w:r>
    </w:p>
    <w:p>
      <w:r>
        <w:t xml:space="preserve">{END-IF}</w:t>
      </w:r>
    </w:p>
    <w:p>
      <w:pPr>
        <w:pStyle w:val="OABody"/>
        <w:keepNext/>
        <w:numPr>
          <w:ilvl w:val="0"/>
          <w:numId w:val="1"/>
        </w:numPr>
        <w:spacing w:before="320" w:after="120" w:line="340" w:lineRule="auto"/>
        <w:jc w:val="left"/>
      </w:pPr>
      <w:r>
        <w:rPr>
          <w:b/>
          <w:bCs/>
        </w:rPr>
        <w:t xml:space="preserve">Sale-of-Goodwill and Partnership-Dissolution Exception Covenants</w:t>
      </w:r>
    </w:p>
    <w:p>
      <w:pPr>
        <w:pStyle w:val="OABody"/>
        <w:spacing w:before="0" w:after="120" w:line="340" w:lineRule="auto"/>
        <w:ind w:left="720"/>
      </w:pPr>
      <w:r>
        <w:t xml:space="preserve">This agreement contains no covenant made in connection with the sale of business goodwill or the dissolution of a partnership.</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Employer-Initiated Termination and Enforcement</w:t>
      </w:r>
    </w:p>
    <w:p>
      <w:pPr>
        <w:pStyle w:val="OABody"/>
        <w:spacing w:before="0" w:after="120" w:line="340" w:lineRule="auto"/>
        <w:ind w:left="720"/>
      </w:pPr>
      <w:r>
        <w:t xml:space="preserve">Employer will not seek to enforce a restrictive covenant against Employee after a layoff, nonrenewal, or termination without cause, except in response to Employee's use of Employer's Trade Secrets, customer relationships, or proprietary information.</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obligations then in effect under this agreement to a prospective employer or business associate of Employee if Employer reasonably believes Employee may breach those obligations. Employee consents to such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a breached covenant is extended by the duration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attorney-fee award under this agreement applies on a mutual, prevailing-party basis.</w:t>
      </w:r>
    </w:p>
    <w:p>
      <w:pPr>
        <w:pStyle w:val="OABody"/>
        <w:keepNext/>
        <w:numPr>
          <w:ilvl w:val="0"/>
          <w:numId w:val="1"/>
        </w:numPr>
        <w:spacing w:before="320" w:after="120" w:line="340" w:lineRule="auto"/>
        <w:jc w:val="left"/>
      </w:pPr>
      <w:r>
        <w:rPr>
          <w:b/>
          <w:bCs/>
        </w:rPr>
        <w:t xml:space="preserve">Distinct, Severable Promises</w:t>
      </w:r>
    </w:p>
    <w:p>
      <w:pPr>
        <w:pStyle w:val="OABody"/>
        <w:spacing w:before="0" w:after="120" w:line="340" w:lineRule="auto"/>
        <w:ind w:left="720"/>
      </w:pPr>
      <w:r>
        <w:t xml:space="preserve">Each restrictive covenant in this agreement is a separate obligation. If any provision is found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or successor takes this agreement subject to all limitations and conditions applicable to Employer and acquires no greater rights than Employer holds under it.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 mid-employment amendment that adds or expands a restrictive covenant is supported by its own independent consideration.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(Montana)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(Montana)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(Montana)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