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Confidential Information, its Trade Secrets, its goodwill in its customer, vendor, referral-source, and business-partner relationships, and its investment in specialized training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subject to any express extension under the Tolling During Breach section.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is the subject of efforts reasonable under the circumstances to maintain its secrecy, as protected under the Mississippi Uniform Trade Secrets Act and the federal Defend Trade Secrets Act.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Employer would not provide Employee with access to those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at-will employee, the consideration for Employee's covenants is Employer's continuation of Employee's employment; if this agreement is signed at the outset of employment, the consideration is the offer and commencement of employment. Employee represents that Employee is not a minor and has the legal capacity to enter this agreement. Employee acknowledges having had the opportunity to consult with independent legal counsel before signing this agreement, and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applies independent of any restrictive covenant in this agreement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Except as expressly provided elsewhere in this agreement, Employee may accept business from a Covered Customer who initiates contact and whom Employee did not Solicit.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is included to protect Employer's goodwill in its customer relationships and is drawn no broader than reasonably necessary to protect it.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included to protect Employer's Protected Interests, not to restrain ordinary competition, and is confined to the Restricted Territory and to the activities described in Cover Terms under Competitive Business. Where Cover Terms list Specified Competitors, this covenant is limited to those named competitors and their affiliates rather than the general Competitive Business definition.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the parties acknowledge that each covenant in this agreement restraining Employee's practice is limited to the durations and, where applicable, the territory stated in Cover Terms.</w:t>
      </w:r>
    </w:p>
    <w:p>
      <w:r>
        <w:t xml:space="preserve">{END-IF}</w:t>
      </w:r>
    </w:p>
    <w:p>
      <w:pPr>
        <w:pStyle w:val="OABody"/>
        <w:keepNext/>
        <w:numPr>
          <w:ilvl w:val="0"/>
          <w:numId w:val="1"/>
        </w:numPr>
        <w:spacing w:before="320" w:after="120" w:line="340" w:lineRule="auto"/>
        <w:jc w:val="left"/>
      </w:pPr>
      <w:r>
        <w:rPr>
          <w:b/>
          <w:bCs/>
        </w:rPr>
        <w:t xml:space="preserve">Practice Restrictions for Lawyers Excluded</w:t>
      </w:r>
    </w:p>
    <w:p>
      <w:pPr>
        <w:pStyle w:val="OABody"/>
        <w:spacing w:before="0" w:after="120" w:line="340" w:lineRule="auto"/>
        <w:ind w:left="720"/>
      </w:pPr>
      <w:r>
        <w:t xml:space="preserve">If Employee is a lawyer, no covenant in this agreement restricts Employee's right to practice law after the termination of the relationship, except an agreement concerning benefits upon retirement. To the extent any covenant in this agreement would otherwise restrain Employee's right to practice law, that covenant does not apply to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the time Employee is in breach, even if the Restricted Period would otherwise have expired according to the terms of this agreement, so that the full duration of the restriction is measured by the actual period of the breach. Any extension under this section is limited to the actual period of the breach and does not otherwise extend the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assignment of the covenants in this agreement in connection with a transfer of Employer's business must be made expressly and in writing.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(Mississippi)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