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 the date the last party signs. It anchors the durations stated in Cover Terms.]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Minnesota</w:t>
            </w:r>
          </w:p>
        </w:tc>
      </w:tr>
      <w:tr>
        <w:tc>
          <w:tcPr>
            <w:tcW w:w="3600" w:type="dxa"/>
            <w:tcMar>
              <w:top w:w="60" w:type="dxa"/>
              <w:left w:w="0" w:type="dxa"/>
              <w:bottom w:w="60" w:type="dxa"/>
              <w:right w:w="0" w:type="dxa"/>
            </w:tcMar>
          </w:tcPr>
          <w:p>
            <w:r>
              <w:rPr>
                <w:rFonts w:ascii="Arial" w:hAnsi="Arial" w:cs="Arial"/>
                <w:b/>
                <w:bCs/>
                <w:color w:val="1D2021"/>
                <w:sz w:val="22"/>
                <w:szCs w:val="22"/>
              </w:rPr>
              <w:t xml:space="preserve">Venue</w:t>
            </w:r>
          </w:p>
        </w:tc>
        <w:tc>
          <w:tcPr>
            <w:tcW w:w="6480" w:type="dxa"/>
            <w:tcMar>
              <w:top w:w="60" w:type="dxa"/>
              <w:left w:w="0" w:type="dxa"/>
              <w:bottom w:w="60" w:type="dxa"/>
              <w:right w:w="0" w:type="dxa"/>
            </w:tcMar>
          </w:tcPr>
          <w:p>
            <w:r>
              <w:rPr>
                <w:rFonts w:ascii="Arial" w:hAnsi="Arial" w:cs="Arial"/>
                <w:color w:val="1D2021"/>
                <w:sz w:val="22"/>
                <w:szCs w:val="22"/>
              </w:rPr>
              <w:t xml:space="preserve">the state courts located in Minnesota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Look-Back</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Look-Back</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only those customers, clients, vendors, referral sources, and business partners of Employer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only those employees of Employer with whom Employee worked, or whom Employee supervised or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company property, legally protected business information, and Employer's relationships with its Covered Customers and its workforce.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“Solicit”</w:t>
      </w:r>
      <w:r>
        <w:t xml:space="preserve"> means for Employee to directly or indirectly initiate contact with, approach, induce, or encourage a person or entity for the purpose of diverting business or employment away from Employer. Solicit does not include passively receiving an inquiry that Employee did not initiate, responding to a general advertisement or an unsolicited approach, or continuing to serve a Covered Customer who follows Employee without any initiating contact by Employee.</w:t>
      </w:r>
    </w:p>
    <w:p>
      <w:pPr>
        <w:pStyle w:val="OABody"/>
        <w:numPr>
          <w:ilvl w:val="1"/>
          <w:numId w:val="1"/>
        </w:numPr>
        <w:spacing w:before="0" w:after="120" w:line="340" w:lineRule="auto"/>
      </w:pPr>
      <w:r>
        <w:rPr>
          <w:b/>
          <w:bCs/>
          <w:color w:val="117086"/>
        </w:rPr>
        <w:t xml:space="preserve">“Trade Secrets”</w:t>
      </w:r>
      <w:r>
        <w:t xml:space="preserve"> means information that qualifies for protection as a trade secret under applicable law, including information that derives independent economic value, actual or potential, from not being generally known to, and not being readily ascertainable through proper means by, another person who can obtain economic value from its disclosure or use.</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This agreement contains confidentiality, company-property, non-disparagement, and defined non-solicitation obligations and no covenant prohibiting Employee from working for a competitor. This agreement is effective as of the Effective Date listed in Cover Terms.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These obligations do not prohibit Employee from working for another employer.</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Customers</w:t>
      </w:r>
    </w:p>
    <w:p>
      <w:pPr>
        <w:pStyle w:val="OABody"/>
        <w:spacing w:before="0" w:after="120" w:line="340" w:lineRule="auto"/>
        <w:ind w:left="720"/>
      </w:pPr>
      <w:r>
        <w:t xml:space="preserve">During the Restricted Period specified in Cover Terms for Customer Non-Solicitation, Employee must not Solicit the business of any Covered Customer for the purpose of diverting that business away from Employer. This covenant does not prohibit Employee from working for a competitor, competing with Employer generally, or doing business with a customer who is not a Covered Customer.</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specified in Cover Terms for Employee Non-Solicitation, Employee must not Solicit, recruit, or induce any Covered Employee to leave Employer's employment. This covenant does not prohibit Employee from providing a professional reference on request, hiring a person who responds to a general advertisement not directed specifically at Employer's employees, or working for a competitor.</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other terms and conditions of employment as protected by Section 7 of the National Labor Relations Act, 29 U.S.C. § 157, or otherwise exercising rights protected by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Employee's confidentiality, trade-secret, return-of-property, non-disparagement, and other lawful obligations under this agreement to any prospective employer or business associate of Employee if Employer has a reasonable belief that Employee may breach those lawful obligations. Any such disclosure is limited to Employee's lawful obligations under this agreement and does not extend to any covenant not to compete. Employee consents to this disclosure.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to prevent actual or threatened misappropriation of trade secrets and to enforce Employee's confidentiality, non-disparagement, and return-of-property obligations. Injunctive relief is available only to enforce obligations that are enforceable under Minnesota law; no provision of this agreement entitles Employer to enjoin Employee from working for a competitor. If a party prevails in an action to enforce a lawful obligation under this agreement, the non-prevailing party must reimburse the prevailing party's reasonable attorney's fees and costs to the extent permitted by applicable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a separate obligation.</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 Nothing survives that this agreement does not lawfully contain, including any covenant not to compete.</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Assignment moves the covenants that are enforceable under Minnesota law to the assignee; it does not enlarge them.</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An Employee who primarily resides and works in Minnesota may bring any claim arising under this agreement in Minnesota, and Minnesota law governs any controversy arising in Minnesota.</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and no amendment may add a covenant not to compete that is void under Minn. Stat. § 181.988.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(Minnesota)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(Minnesota)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(Minnesota)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