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Consideration for Restrictive Covenants</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{michigan_consideration}</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the general knowledge, skill, and experience Employee acquired during employment.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relationships and goodwill with its customers, patients, referral sources, and business partners.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derives independent economic value from not being generally known or readily ascertainable and that Employer takes reasonable measures to keep secret.</w:t>
      </w:r>
    </w:p>
    <w:p>
      <w:pPr>
        <w:pStyle w:val="OABody"/>
        <w:keepNext/>
        <w:numPr>
          <w:ilvl w:val="0"/>
          <w:numId w:val="1"/>
        </w:numPr>
        <w:spacing w:before="320" w:after="120" w:line="340" w:lineRule="auto"/>
        <w:jc w:val="left"/>
      </w:pPr>
      <w:r>
        <w:rPr>
          <w:b/>
          <w:bCs/>
        </w:rPr>
        <w:t xml:space="preserve">Recitals and Reasonable Competitive Business Interests</w:t>
      </w:r>
    </w:p>
    <w:p>
      <w:pPr>
        <w:pStyle w:val="OABody"/>
        <w:spacing w:before="0" w:after="120" w:line="340" w:lineRule="auto"/>
        <w:ind w:left="720"/>
      </w:pPr>
      <w:r>
        <w:t xml:space="preserve">Employer and Employee acknowledge that each restrictive covenant in this agreement protects one or more of Employer's Protected Interests. Employer would not provide Employee with access to these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the consideration identified as </w:t>
      </w:r>
      <w:r>
        <w:rPr>
          <w:highlight w:val="yellow"/>
        </w:rPr>
        <w:t xml:space="preserve">{michigan_consideration}</w:t>
      </w:r>
      <w:r>
        <w:t xml:space="preserve">. Employee acknowledges having had the opportunity to consult with independent legal counsel before signing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drawn no broader than necessary to protect Employer's workforce stability and goodwill.</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exists to protect Employer's Protected Interests — its Confidential Information, trade secrets, and customer relationships — and not to restrain ordinary competition or Employee's general knowledge or skill. The parties intend this covenant to protect a reasonable competitive business interest and to be reasonable as to its duration, geographical area, and the type of employment or line of business, with its scope sized to Employee's actual role and Employer's actual market. If Employer has identified specific competitors in Cover Terms under Specified Competitors, this covenant applies only to those named competitors.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r>
        <w:t xml:space="preserve">{IF worker_is_physician}</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or other licensed health care practitioner, each restriction applies only during the Restricted Period and within the Restricted Territory stated in Cover Terms.</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under the Michigan Uniform Trade Secrets Act for actual or threatened misappropriation of a trade secret.</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An assignee or successor takes each covenant subject to its existing limitations.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The parties agree to a Michigan forum for disputes arising out of or relating to this agreement.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(Michigan)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