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Michigan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Consideration for Restrictive Covenants</w:t>
            </w:r>
          </w:p>
        </w:tc>
        <w:tc>
          <w:tcPr>
            <w:tcW w:w="6480" w:type="dxa"/>
            <w:tcMar>
              <w:top w:w="60" w:type="dxa"/>
              <w:left w:w="0" w:type="dxa"/>
              <w:bottom w:w="60" w:type="dxa"/>
              <w:right w:w="0" w:type="dxa"/>
            </w:tcMar>
          </w:tcPr>
          <w:p>
            <w:r>
              <w:rPr>
                <w:rFonts w:ascii="Arial" w:hAnsi="Arial" w:cs="Arial"/>
                <w:color w:val="1D2021"/>
                <w:sz w:val="22"/>
                <w:szCs w:val="22"/>
              </w:rPr>
              <w:t xml:space="preserve">Employee's continued at-will employment, together with the compensation and the access to Confidential Information that Employer provides Employee under this agreement, which the parties agree are given in exchange for the restrictive covenants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relationships and goodwill with its customers, patients, referral sources, and business partners.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Recitals and Reasonable Competitive Business Interests</w:t>
      </w:r>
    </w:p>
    <w:p>
      <w:pPr>
        <w:pStyle w:val="OABody"/>
        <w:spacing w:before="0" w:after="120" w:line="340" w:lineRule="auto"/>
        <w:ind w:left="720"/>
      </w:pPr>
      <w:r>
        <w:t xml:space="preserve">Employer and Employee acknowledge that each restrictive covenant in this agreement protects one or more of Employer's Protected Interests. Employer would not provide Employee with access to these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the consideration identified as </w:t>
      </w:r>
      <w:r>
        <w:rPr>
          <w:b w:val="0"/>
          <w:bCs w:val="0"/>
        </w:rPr>
        <w:t xml:space="preserve">Employee's continued at-will employment, together with the compensation and the access to Confidential Information that Employer provides Employee under this agreement, which the parties agree are given in exchange for the restrictive covenants</w:t>
      </w:r>
      <w:r>
        <w:t xml:space="preserve">.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drawn no broader than necessary to protect Employer's workforce stability and goodwill.</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exists to protect Employer's Protected Interests — its Confidential Information, trade secrets, and customer relationships — and not to restrain ordinary competition or Employee's general knowledge or skill. The parties intend this covenant to protect a reasonable competitive business interest and to be reasonable as to its duration, geographical area, and the type of employment or line of business, with its scope sized to Employee's actual role and Employer's actual market. If Employer has identified specific competitors in Cover Terms under Specified Competitors, this covenant applies only to those named competitors.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licensed health care practitioner, each restriction applies only during the Restricted Period and within the Restricted Territory stated in Cover Terms.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a maximum extension equal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relief under the Michigan Uniform Trade Secrets Act for actual or threatened misappropriation of a trade secret.</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An assignee or successor takes each covenant subject to its existing limitations.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The parties agree to a Michigan forum for disputes arising out of or relating to this agreement.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(Michigan)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(Michigan)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(Michigan)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