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In Maryland the execution date sorts the covenant into a regime: the health-care void and the high-earner clinician cap reach only agreements executed on or after July 1, 2025, and the architect category reaches only agreements executed on or after October 1, 2026, while the veterinary ban reaches backward to existing agreements.]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Maryland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actually built customer relationships or used protected information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Definitions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and patient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patients,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interest in protecting unique services, Trade Secrets, routes or client lists, and customer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the Maryland Uniform Trade Secrets Act and applicable federal law, including information that derives independent economic value, actual or potential, from not being generally known to, and not being readily ascertainable by proper means by, other persons who can obtain economic value from its disclosure or use, and that is the subject of efforts that are reasonable under the circumstances to maintain its secrecy.</w:t>
      </w:r>
    </w:p>
    <w:p>
      <w:pPr>
        <w:pStyle w:val="OABody"/>
        <w:keepNext/>
        <w:numPr>
          <w:ilvl w:val="0"/>
          <w:numId w:val="1"/>
        </w:numPr>
        <w:spacing w:before="320" w:after="120" w:line="340" w:lineRule="auto"/>
        <w:jc w:val="left"/>
      </w:pPr>
      <w:r>
        <w:rPr>
          <w:b/>
          <w:bCs/>
        </w:rPr>
        <w:t xml:space="preserve">Recitals and Protected Interest</w:t>
      </w:r>
    </w:p>
    <w:p>
      <w:pPr>
        <w:pStyle w:val="OABody"/>
        <w:spacing w:before="0" w:after="120" w:line="340" w:lineRule="auto"/>
        <w:ind w:left="720"/>
      </w:pPr>
      <w:r>
        <w:t xml:space="preserve">Employer and Employee acknowledge that each restrictive covenant in this agreement is ancillary to a valid employment relationship, is supported by adequate consideration, protects Employer's Protected Interests, and is reasonable in area and duration. Employee will receive access to Employer's Confidential Information, Trade Secrets, and customer and patient relationships in the course of employment.</w:t>
      </w:r>
    </w:p>
    <w:p>
      <w:pPr>
        <w:pStyle w:val="OABody"/>
        <w:keepNext/>
        <w:numPr>
          <w:ilvl w:val="0"/>
          <w:numId w:val="1"/>
        </w:numPr>
        <w:spacing w:before="320" w:after="120" w:line="340" w:lineRule="auto"/>
        <w:jc w:val="left"/>
      </w:pPr>
      <w:r>
        <w:rPr>
          <w:b/>
          <w:bCs/>
        </w:rPr>
        <w:t xml:space="preserve">Maryland Statutory Worker-Class Voids</w:t>
      </w:r>
    </w:p>
    <w:p>
      <w:pPr>
        <w:pStyle w:val="OABody"/>
        <w:numPr>
          <w:ilvl w:val="1"/>
          <w:numId w:val="1"/>
        </w:numPr>
        <w:spacing w:before="0" w:after="120" w:line="340" w:lineRule="auto"/>
      </w:pPr>
      <w:r>
        <w:t xml:space="preserve">Notwithstanding any other provision of this agreement, no noncompete or conflict-of-interest provision applies to Employee if:</w:t>
      </w:r>
    </w:p>
    <w:p>
      <w:pPr>
        <w:pStyle w:val="OABody"/>
        <w:numPr>
          <w:ilvl w:val="1"/>
          <w:numId w:val="1"/>
        </w:numPr>
        <w:spacing w:before="0" w:after="120" w:line="340" w:lineRule="auto"/>
      </w:pPr>
      <w:r>
        <w:t xml:space="preserve">(a) Employee earns equal to or less than 150% of the Maryland minimum wage rate;</w:t>
      </w:r>
    </w:p>
    <w:p>
      <w:pPr>
        <w:pStyle w:val="OABody"/>
        <w:numPr>
          <w:ilvl w:val="1"/>
          <w:numId w:val="1"/>
        </w:numPr>
        <w:spacing w:before="0" w:after="120" w:line="340" w:lineRule="auto"/>
      </w:pPr>
      <w:r>
        <w:t xml:space="preserve">(b) Employee is licensed as a veterinary practitioner or veterinary technician, at any compensation level; or</w:t>
      </w:r>
    </w:p>
    <w:p>
      <w:pPr>
        <w:pStyle w:val="OABody"/>
        <w:numPr>
          <w:ilvl w:val="1"/>
          <w:numId w:val="1"/>
        </w:numPr>
        <w:spacing w:before="0" w:after="120" w:line="340" w:lineRule="auto"/>
      </w:pPr>
      <w:r>
        <w:t xml:space="preserve">(c) Employee holds a health-occupation license, provides direct patient care, and earns equal to or less than $350,000 in total annual compensation.</w:t>
      </w:r>
    </w:p>
    <w:p>
      <w:pPr>
        <w:pStyle w:val="OABody"/>
        <w:keepNext/>
        <w:numPr>
          <w:ilvl w:val="0"/>
          <w:numId w:val="1"/>
        </w:numPr>
        <w:spacing w:before="320" w:after="120" w:line="340" w:lineRule="auto"/>
        <w:jc w:val="left"/>
      </w:pPr>
      <w:r>
        <w:rPr>
          <w:b/>
          <w:bCs/>
        </w:rPr>
        <w:t xml:space="preserve">Timing and Consideration</w:t>
      </w:r>
    </w:p>
    <w:p>
      <w:pPr>
        <w:pStyle w:val="OABody"/>
        <w:spacing w:before="0" w:after="120" w:line="340" w:lineRule="auto"/>
        <w:ind w:left="720"/>
      </w:pPr>
      <w:r>
        <w:t xml:space="preserve">This agreement is effective as of the Effective Date listed in Cover Terms. Employer and Employee acknowledge that continued at-will employment is adequate consideration for the restrictive covenants in this agreement. For a covenant Employee signs after employment begins, the parties acknowledge that Employee's continued at-will employment supplies that consideration. Employee's execution of this agreement is connected to, and given in exchange for, Employee's continued employment with Employer. Employee has had the opportunity to consult an attorney before entering into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Employee's obligations regarding other Confidential Information continue for the period specified in Cover Terms under Other Confidential Information Duration. This section does not prohibit Employee from disclosing information that arises from Employee's general training, knowledge, skill, or experience, whether gained on the job or otherwise, information that is readily ascertainable to the public, or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including customer lists and pricing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initiate contact with or actively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during the lookback period stated in Cover Terms.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any condition in the Maryland Statutory Worker-Class Voids section applies to Employee. Passive Public Holdings are permitted.</w:t>
      </w:r>
    </w:p>
    <w:p>
      <w:pPr>
        <w:pStyle w:val="OABody"/>
        <w:keepNext/>
        <w:numPr>
          <w:ilvl w:val="0"/>
          <w:numId w:val="1"/>
        </w:numPr>
        <w:spacing w:before="320" w:after="120" w:line="340" w:lineRule="auto"/>
        <w:jc w:val="left"/>
      </w:pPr>
      <w:r>
        <w:rPr>
          <w:b/>
          <w:bCs/>
        </w:rPr>
        <w:t xml:space="preserve">Named-Competitor Narrowing</w:t>
      </w:r>
    </w:p>
    <w:p>
      <w:pPr>
        <w:pStyle w:val="OABody"/>
        <w:spacing w:before="0" w:after="120" w:line="340" w:lineRule="auto"/>
        <w:ind w:left="720"/>
      </w:pPr>
      <w:r>
        <w:t xml:space="preserve">Where Employer has identified its actual competitors in Cover Terms under Specified Competitors, the non-competition covenant binds Employee only as to those named competitors and their lines of business, rather than the open-ended Competitive Business definition.</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if any condition in the Maryland Statutory Worker-Class Voids section applies to Employee.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Health-Care Provider Notices and Patient Communications</w:t>
      </w:r>
    </w:p>
    <w:p>
      <w:pPr>
        <w:pStyle w:val="OABody"/>
        <w:spacing w:before="0" w:after="120" w:line="340" w:lineRule="auto"/>
        <w:ind w:left="720"/>
      </w:pPr>
      <w:r>
        <w:t xml:space="preserve">Nothing in this agreement restricts or delays a departing clinician, or Employer, from communicating a patient's right to continue care with Employee at a new location, or from giving any patient notice that applicable law requires.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and Employer has a reasonable belief that Employee may breach that covenant. Employer will not present or attempt to enforce against a third party a covenant that is void under Md. Code, Lab. &amp; Empl. § 3-716 for Employee's worker class.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A decision not to enforce a covenant or its liquidated-damages terms does not bar Employer from recovering for trade-secret misappropriation. Any fee-shifting between the parties is mutual and prevailing-party based.</w:t>
      </w:r>
    </w:p>
    <w:p>
      <w:pPr>
        <w:pStyle w:val="OABody"/>
        <w:keepNext/>
        <w:numPr>
          <w:ilvl w:val="0"/>
          <w:numId w:val="1"/>
        </w:numPr>
        <w:spacing w:before="320" w:after="120" w:line="340" w:lineRule="auto"/>
        <w:jc w:val="left"/>
      </w:pPr>
      <w:r>
        <w:rPr>
          <w:b/>
          <w:bCs/>
        </w:rPr>
        <w:t xml:space="preserve">Severability and Severable Tiers</w:t>
      </w:r>
    </w:p>
    <w:p>
      <w:pPr>
        <w:pStyle w:val="OABody"/>
        <w:spacing w:before="0" w:after="120" w:line="340" w:lineRule="auto"/>
        <w:ind w:left="720"/>
      </w:pPr>
      <w:r>
        <w:t xml:space="preserve">If any provision of this agreement is found to be unenforceable, the remaining provisions remain in full force and effect. Each duration, territory, and covered-activity tier is severable, and each enforceable tier remains in effect independently of any unenforceable tier.</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 assignee acquires no greater right to enforce a covenant than Employer held before the assignment.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Maryland-based worker the parties select Maryland law and a Maryland forum for disputes over the enforceability of the restrictive covenants; all other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(Maryland)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(Maryland)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(Maryland)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