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In Maine the signing date starts the six-month half of the delayed-effectiveness clock, and the date the agreement is entered into or renewed determines whether the L.D. 2200 health-care-practitioner restriction reaches it, so the date carries unusual weight.]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Maine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Non-Compete Timing and Disclosure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Pre-Offer Disclosure Date</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[Date the employer disclosed to the employee or prospective employee that the position will require a non-compete. Maine requires disclosure of the non-compete requirement before the employer makes the offer of employment.]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Agreement Delivery Date</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[Date the employer delivered a copy of this agreement to the employee. Maine requires the copy to be provided not less than three business days before the required signing date so the employee has time to review and negotiate.]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Required Signing Date</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[Earliest date on which the employer requires the agreement to be signed. Maine requires this to be at least three business days after the delivery date.]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Non-Compete Effectiveness</w:t>
            </w:r>
          </w:p>
        </w:tc>
        <w:tc>
          <w:tcPr>
            <w:tcW w:w="6480" w:type="dxa"/>
            <w:tcMar>
              <w:top w:w="60" w:type="dxa"/>
              <w:left w:w="0" w:type="dxa"/>
              <w:bottom w:w="60" w:type="dxa"/>
              <w:right w:w="0" w:type="dxa"/>
            </w:tcMar>
          </w:tcPr>
          <w:p>
            <w:r>
              <w:rPr>
                <w:rFonts w:ascii="Arial" w:hAnsi="Arial" w:cs="Arial"/>
                <w:i/>
                <w:iCs/>
                <w:color w:val="1D2021"/>
                <w:sz w:val="21"/>
                <w:szCs w:val="21"/>
              </w:rPr>
              <w:t xml:space="preserve">the later of one year of employment or six months from signing (26 M.R.S. § 599-A(5))</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the protected goodwill or confidential information would actually be exploited</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skill and knowledge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that does not qualify as a trade secret, and goodwill. Each restrictive covenant in this agreement protects one or more of those interests and does not target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that each restrictive covenant in this agreement is ancillary to a valid employment relationship and protects Employer's trade secrets, Confidential Information, or goodwill. Employee will receive access to Employer's Confidential Information and Trade Secrets in the course of employment.</w:t>
      </w:r>
    </w:p>
    <w:p>
      <w:pPr>
        <w:pStyle w:val="OABody"/>
        <w:keepNext/>
        <w:numPr>
          <w:ilvl w:val="0"/>
          <w:numId w:val="1"/>
        </w:numPr>
        <w:spacing w:before="320" w:after="120" w:line="340" w:lineRule="auto"/>
        <w:jc w:val="left"/>
      </w:pPr>
      <w:r>
        <w:rPr>
          <w:b/>
          <w:bCs/>
        </w:rPr>
        <w:t xml:space="preserve">Timing, Pre-Offer Disclosure, and Review Window</w:t>
      </w:r>
    </w:p>
    <w:p>
      <w:pPr>
        <w:pStyle w:val="OABody"/>
        <w:spacing w:before="0" w:after="120" w:line="340" w:lineRule="auto"/>
        <w:ind w:left="720"/>
      </w:pPr>
      <w:r>
        <w:t xml:space="preserve">This agreement is effective as of the Effective Date listed in Cover Terms. Employer disclosed the non-compete requirement to Employee before making the offer of employment, on the Pre-Offer Disclosure Date listed in Cover Terms. Employer provided Employee a copy of this agreement on the Agreement Delivery Date listed in Cover Terms, at least three business days before the Required Signing Date. Employee had that period to review the agreement, negotiate its terms or the terms of employment, and consult an attorney.</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protects Employer's specialized, proprietary information and does not prohibit Employee from using the general skill and knowledge Employee acquired during employment, from disclosing information that is readily ascertainable to the public, or from disclosing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Maine Human Rights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reporting or discussing unlawful employment discrimination occurring in the workplace or at work-related events, which 26 M.R.S. § 599-C(2) preserves and which no term of this agreement waives or limits;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whom Employee actually served during the look-back period stated in Cover Terms.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Employee's wages are at or below the wage-floor reference stated in the field note above. This covenant does not apply to a licensed veterinarian working in a veterinary facility unless Employee has an ownership interest in that facility. This covenant takes effect at the Non-Compete Effectiveness point listed in Cover Terms, except that the delayed effectiveness date does not apply to an allopathic or osteopathic physician.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wage-floor, veterinarian, and effectiveness exclusions stated in the Non-Competition section also apply to this covenant.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reporting or discussing unlawful employment discrimination as preserved by 26 M.R.S. § 599-C(2), or otherwise exercising rights protected by law.</w:t>
      </w:r>
    </w:p>
    <w:p>
      <w:pPr>
        <w:pStyle w:val="OABody"/>
        <w:keepNext/>
        <w:numPr>
          <w:ilvl w:val="0"/>
          <w:numId w:val="1"/>
        </w:numPr>
        <w:spacing w:before="320" w:after="120" w:line="340" w:lineRule="auto"/>
        <w:jc w:val="left"/>
      </w:pPr>
      <w:r>
        <w:rPr>
          <w:b/>
          <w:bCs/>
        </w:rPr>
        <w:t xml:space="preserve">Health-Care Practitioner and Physician Notices</w:t>
      </w:r>
    </w:p>
    <w:p>
      <w:pPr>
        <w:pStyle w:val="OABody"/>
        <w:spacing w:before="0" w:after="120" w:line="340" w:lineRule="auto"/>
        <w:ind w:left="720"/>
      </w:pPr>
      <w:r>
        <w:t xml:space="preserve">The Non-Compete Covenant does not apply to Employee while Employee is a health-care practitioner excluded from non-compete restrictions by Maine law.</w:t>
      </w:r>
    </w:p>
    <w:p>
      <w:pPr>
        <w:pStyle w:val="OABody"/>
        <w:keepNext/>
        <w:numPr>
          <w:ilvl w:val="0"/>
          <w:numId w:val="1"/>
        </w:numPr>
        <w:spacing w:before="320" w:after="120" w:line="340" w:lineRule="auto"/>
        <w:jc w:val="left"/>
      </w:pPr>
      <w:r>
        <w:rPr>
          <w:b/>
          <w:bCs/>
        </w:rPr>
        <w:t xml:space="preserve">No Employer-to-Employer No-Poach Terms</w:t>
      </w:r>
    </w:p>
    <w:p>
      <w:pPr>
        <w:pStyle w:val="OABody"/>
        <w:spacing w:before="0" w:after="120" w:line="340" w:lineRule="auto"/>
        <w:ind w:left="720"/>
      </w:pPr>
      <w:r>
        <w:t xml:space="preserve">Nothing in this agreement authorizes any arrangement that restricts one employer from soliciting or hiring another employer's employees or former employees.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 prospective employer or business associate of Employee if Employer reasonably believes Employee may breach those obligations. Employer must not enter into any arrangement with another employer that restricts lawful hiring.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 award under this agreement is available to the prevailing party.</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separate from the other covenants.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subject to its applicable effectiveness date.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worker who primarily resides and works in Maine, this agreement is governed by Maine law. Accordingly, for a Maine-based worker, this agreement is governed by Maine law and disputes over the enforceability of the covenants will be resolved in a Maine forum. All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