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Kentucky</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Signed After Employment Started</w:t>
            </w:r>
          </w:p>
        </w:tc>
        <w:tc>
          <w:tcPr>
            <w:tcW w:w="6480" w:type="dxa"/>
            <w:tcMar>
              <w:top w:w="60" w:type="dxa"/>
              <w:left w:w="0" w:type="dxa"/>
              <w:bottom w:w="60" w:type="dxa"/>
              <w:right w:w="0" w:type="dxa"/>
            </w:tcMar>
          </w:tcPr>
          <w:p>
            <w:r>
              <w:rPr>
                <w:rFonts w:ascii="Arial" w:hAnsi="Arial" w:cs="Arial"/>
                <w:i/>
                <w:iCs/>
                <w:color w:val="1D2021"/>
                <w:sz w:val="21"/>
                <w:szCs w:val="21"/>
              </w:rPr>
              <w:t xml:space="preserve">false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New Consideration Provided</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its customer, vendor, referral-source, and business-partner relationships, but not Employer's interest in avoiding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Kentucky Uniform Trade Secrets Act, KRS 365.880(4).</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including Employer's Confidential Information, trade secrets, and customer goodwill. Employer and Employee acknowledge that the covenants are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valid consideration and record the timing of execution relative to the start of employment in Cover Terms. If this agreement is signed at the outset of employment, the offer and commencement of employment is itself adequate consideration for the covenants. If Employee is an existing employee at the time of signing — that is, if the agreement is signed after employment began — the covenants are supported by independent, new consideration beyond continued at-will employment. For any such mid-employment covenant, the specific new value exchanged — for example a bonus, a raise, a promotion, or specialized training — is identified in Cover Terms under New Consideration Provided and was actually delivered to Employee.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 The parties intend that these return, deletion, and certification mechanics support Employer's efforts to maintain the secrecy of its trade secrets.</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is limited to those named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Health Care Services Agency and Temporary Direct Care Staff</w:t>
      </w:r>
    </w:p>
    <w:p>
      <w:pPr>
        <w:pStyle w:val="OABody"/>
        <w:spacing w:before="0" w:after="120" w:line="340" w:lineRule="auto"/>
        <w:ind w:left="720"/>
      </w:pPr>
      <w:r>
        <w:t xml:space="preserve">Notwithstanding any other provision of this agreement, if Employer is a health care services agency and Employee is temporary direct care staff contracted with or employed by the agency, this agreement does not, and may not, restrict in any manner Employee's employment opportunities, including through contract buy-out provisions or contract non-compete clauses. Any covenant in this agreement that would otherwise restrain Employee's employment opportunities is of no force or effect as to Employee, and the exclusion in this section controls over any contrary provision.</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Extension of the Restricted Period During Breach</w:t>
      </w:r>
    </w:p>
    <w:p>
      <w:pPr>
        <w:pStyle w:val="OABody"/>
        <w:spacing w:before="0" w:after="120" w:line="340" w:lineRule="auto"/>
        <w:ind w:left="720"/>
      </w:pPr>
      <w:r>
        <w:t xml:space="preserve">If Employee breaches any restrictive covenant in this agreement, Employer may seek to have the Restricted Period for that covenant extended by a period equal to the duration of the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and each covenant is separate and independently enforceable.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This agreement, including the restrictive covenants, binds and benefits the parties' respective successors and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restrictive covenant added by amendment is supported by independent, new consideration of its own beyond continued employment.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(Kentucky)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(Kentucky)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(Kentucky)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