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Kansas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and prospective customers that Employee solicited, produced, or serviced, directly or indirectly, or about whom Employee had confidential business or proprietary information or trade secrets, in the course of Employee's relationship with the customer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goodwill in its customer, vendor, and business-partner relationships, and, for a professional practice, referral sources, but not Employer's interest in avoiding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solicit, recruit, induce, persuade, encourage, direct, or otherwise interfere with, directly or indirectly, a person or entity,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Kansas Uniform Trade Secrets Act, K.S.A. 60-3320(4).</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and is reasonable in time, territory, and scope. Employer would not provide Employee with access to its Confidential Information, trade secrets, customer goodwill, and referral sources absent the protections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In consideration of Employee's employment or continued employment, the parties agree to the terms of this agreement.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including customer lists, pricing, and confidential know-how, continue for the period specified in Cover Terms. This obligation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Employee must not Solicit the business of any Covered Customer, including any reduction, termination, acceptance, or transfer of any Covered Customer's business, in whole or in part, for the purpose of providing any product or service that is competitive with those provided by Employer.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applies only to those named competitors and their businesses.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any covenant in this agreement restraining Employee from the practice of the profession is intended to use a reasonable radius and a reasonable term and to preserve patient access and continuity of care.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Restricted Period; No Open-Ended Extension</w:t>
      </w:r>
    </w:p>
    <w:p>
      <w:pPr>
        <w:pStyle w:val="OABody"/>
        <w:spacing w:before="0" w:after="120" w:line="340" w:lineRule="auto"/>
        <w:ind w:left="720"/>
      </w:pPr>
      <w:r>
        <w:t xml:space="preserve">The Restricted Period for each covenant is a defined, fixed term running from the date Employee's employment ends, as specified in Cover Terms. The parties do not intend, and this agreement does not provide for, any extension of the Restricted Period during a breach or during enforcement litigation. Employer's remedy for competition during the Restricted Period is damages and injunctive relief, not added time; the Restricted Period is not extended, tolled, or suspended by any breach or dispute.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