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Iowa</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and goodwill in its customer, vendor, referral-source, and business-partner relationships, including Employee's close proximity to customers and access to information peculiar to Employer's business, but not Employer's interest in avoiding ordinary competition or the general skill and knowledge Employee acquired through experience or instruction on the job.</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protects one or more of Employer's Protected Interests, including Employer's Confidential Information, trade secrets, and customer goodwill. The covenants do not preclude Employee from using the general skill and knowledge Employee acquired on the job. Employer and Employee acknowledge that the covenants are reasonable in time, territory, and scope.</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In consideration of Employee's employment or continued employment, the parties agree to the terms of this agreement. Employee acknowledges having had the opportunity to consult with independent legal counsel before signing this agreement.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is intended to operate alongside, and independent of, any restrictive covenant, and does not restrict Employee's use of the general knowledge, skill, and experience Employee acquired through experience or instruction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Where Employee is a licensed mental health professional, this covenant does not restrict Employee from contacting for professional services a person Employee previously treated.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If Employer has identified specific competitors in Cover Terms under Specified Competitors, this covenant applies only to those named competitors. Where Employee is an independent contractor, this covenant does not require Employee to forsake customers Employee brought to the relationship.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pPr>
        <w:pStyle w:val="OABody"/>
        <w:keepNext/>
        <w:numPr>
          <w:ilvl w:val="0"/>
          <w:numId w:val="1"/>
        </w:numPr>
        <w:spacing w:before="320" w:after="120" w:line="340" w:lineRule="auto"/>
        <w:jc w:val="left"/>
      </w:pPr>
      <w:r>
        <w:rPr>
          <w:b/>
          <w:bCs/>
        </w:rPr>
        <w:t xml:space="preserve">Occupation- and Sector-Specific Rights and Notices</w:t>
      </w:r>
    </w:p>
    <w:p>
      <w:pPr>
        <w:pStyle w:val="OABody"/>
        <w:spacing w:before="0" w:after="120" w:line="340" w:lineRule="auto"/>
        <w:ind w:left="720"/>
      </w:pPr>
      <w:r>
        <w:t xml:space="preserve">If Employee is a licensed mental health professional, this agreement does not limit the location at which Employee may practice, prohibit Employee from contacting for professional services a person Employee previously treated, or impose a time restriction on Employee's practice. If Employer is a health-care employment agency and Employee is an agency worker, this agreement does not restrict Employee's employment opportunities or require Employee to pay liquidated damages, employment fees, or other compensation if Employee is later hired by a health care entity. If Employer is the University of Iowa Hospitals and Clinics and Employee is an advanced registered nurse practitioner, licensed practical nurse, pharmacist, physician, physician assistant, or registered nurse, the non-competition covenant does not apply.</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parties intend that the Restricted Period for that covenant be extended by one day for each day of the breach, so that the full duration of the restriction runs from the date the breach ends.</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 The parties intend that the governing-law and venue choices match where Employee actually lives and works.</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(Iowa)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(Iowa)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(Iowa)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