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The execution date is decisive for physician covenants: it selects which statutory layer governs (the July 1, 2020 content requirements, the July 1, 2023 primary care ban, and the July 1, 2025 physician-hospital ban).]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Indiana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Physician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Release Buyout Price</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skills, knowledge,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 and who hold Confidential Information or specialized, hard-to-replace value in which Employer has a legitimate Protected Interest. This class is limited to such employees and does not extend to Employer's workforce at large.</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goodwill in its customer, vendor, referral-source, and business-partner relationships, and established customer relationships, but not Employer's interest in avoiding ordinary competition or Employee's general skills or routine industry knowledge.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 If this agreement is ancillary to the sale of a business or an ownership interest, the applicable covenants remain subject to their stated terms.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and the benefits provided under this agreement, the parties agree to its terms.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This notice is provided as required under 18 U.S.C. § 1833(b)(3)(A) in a contract governing the use of a trade secret or other confidential information.</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engage in the same activities Employee actually performed for Employer on behalf of a Competitive Business. This covenant does not bar Employee from working for a competitor in a role unrelated to the activities Employee performed for Employer. If Specified Competitors are listed in Cover Terms, Competitive Business is limited to those listed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w:t>
      </w:r>
    </w:p>
    <w:p>
      <w:pPr>
        <w:pStyle w:val="OABody"/>
        <w:keepNext/>
        <w:numPr>
          <w:ilvl w:val="0"/>
          <w:numId w:val="1"/>
        </w:numPr>
        <w:spacing w:before="320" w:after="120" w:line="340" w:lineRule="auto"/>
        <w:jc w:val="left"/>
      </w:pPr>
      <w:r>
        <w:rPr>
          <w:b/>
          <w:bCs/>
        </w:rPr>
        <w:t xml:space="preserve">Physician Covenants and Statutory Requirements</w:t>
      </w:r>
    </w:p>
    <w:p>
      <w:pPr>
        <w:pStyle w:val="OABody"/>
        <w:spacing w:before="0" w:after="120" w:line="340" w:lineRule="auto"/>
        <w:ind w:left="720"/>
      </w:pPr>
      <w:r>
        <w:t xml:space="preserve">The non-competition covenant does not apply if (a) Employee is a primary care physician and this agreement is entered into on or after July 1, 2023, or (b) Employee is a physician employed by a hospital, a hospital parent company, an affiliated hospital manager, or a hospital system and this agreement is entered into on or after July 1, 2025. Any required release right and buyout price are stated in Cover Terms. The confidentiality and employee non-solicitation covenants remain in effect according to their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disclosure is limited to factual information about the existence and terms of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The parties intend that a successor may enforce these covenants only to protect a Protected Interest the successor holds as its own, and the assignment does not enlarge the scope of any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 amendment changes the Effective Date only if the amendment expressly states a new Effective Date.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