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t xml:space="preserve">{IF healthcare_provider}</w:t>
            </w:r>
            <w:r>
              <w:rPr>
                <w:rFonts w:ascii="Arial" w:hAnsi="Arial" w:cs="Arial"/>
                <w:b/>
                <w:bCs/>
                <w:color w:val="1D2021"/>
                <w:sz w:val="22"/>
                <w:szCs w:val="22"/>
              </w:rPr>
              <w:t xml:space="preserve">Healthcare Provider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{healthcare_provider}</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Consideration for Restrictive Covenants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{idaho_added_consideration}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limited so far as possible to the type of employment or line of business Employee actually conducted for Employer.</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goodwill, technologies, intellectual property, business plans, business processes and methods of operation, customers, customer lists, customer contacts and referral sources, vendors and vendor contacts, financial and marketing information, and trade secrets.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an overt act initiated by Employee that entreats, implores, pleads, or petitions a person or entity for the business or relationship at issue, and seeks something in return. Solicit does not include the mere acceptance of business, ordinary communication between Employee and another person, responding to general advertisements, or responding to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Idaho Trade Secrets Act, Idaho Code section 48-801.</w:t>
      </w:r>
    </w:p>
    <w:p>
      <w:pPr>
        <w:pStyle w:val="OABody"/>
        <w:keepNext/>
        <w:numPr>
          <w:ilvl w:val="0"/>
          <w:numId w:val="1"/>
        </w:numPr>
        <w:spacing w:before="320" w:after="120" w:line="340" w:lineRule="auto"/>
        <w:jc w:val="left"/>
      </w:pPr>
      <w:r>
        <w:rPr>
          <w:b/>
          <w:bCs/>
        </w:rPr>
        <w:t xml:space="preserve">Recitals, Key-Worker Status, and Protected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Employee acknowledges that Employee holds a key role and has access to Employer's Protected Interests.</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Employer has advised Employee that Employee may consult with an attorney before entering into this agreement, and Employee confirms having entered this agreement knowingly and voluntarily. In consideration of Employee's employment or continued employment and </w:t>
      </w:r>
      <w:r>
        <w:rPr>
          <w:highlight w:val="yellow"/>
        </w:rPr>
        <w:t xml:space="preserve">{idaho_added_consideration}</w:t>
      </w:r>
      <w:r>
        <w:t xml:space="preserve">, the parties agree to the terms of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in Cover Terms, which is intended to last as long as the information remains a trade secret. Employee's obligations regarding other Confidential Information continue for the Other Confidential Information Duration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the National Labor Relations Act and other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accepting business initiated by a Covered Customer or from engaging in ordinary communications with a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employment or a line of business that is in direct competition with Employer's business, within the Restricted Territory, by engaging in, being employed by, consulting for, or having an active ownership interest in any Competitive Business. If any Specified Competitors are listed in Cover Terms, this restriction is limited to those Specified Competitors. The Restricted Territory is limited to the areas where Employee provided services or had a significant presence or influence, and the Competitive Business is limited to the type of employment or line of business Employee conducted for Employer.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 under the National Labor Relations Act.</w:t>
      </w:r>
    </w:p>
    <w:p>
      <w:r>
        <w:t xml:space="preserve">{IF healthcare_provider}</w:t>
      </w:r>
    </w:p>
    <w:p>
      <w:pPr>
        <w:pStyle w:val="OABody"/>
        <w:keepNext/>
        <w:numPr>
          <w:ilvl w:val="0"/>
          <w:numId w:val="1"/>
        </w:numPr>
        <w:spacing w:before="320" w:after="120" w:line="340" w:lineRule="auto"/>
        <w:jc w:val="left"/>
      </w:pPr>
      <w:r>
        <w:rPr>
          <w:b/>
          <w:bCs/>
        </w:rPr>
        <w:t xml:space="preserve">Healthcare Provider and Patient Access</w:t>
      </w:r>
    </w:p>
    <w:p>
      <w:pPr>
        <w:pStyle w:val="OABody"/>
        <w:spacing w:before="0" w:after="120" w:line="340" w:lineRule="auto"/>
        <w:ind w:left="720"/>
      </w:pPr>
      <w:r>
        <w:t xml:space="preserve">Where Employee is a healthcare provider, on Employee's departure the parties will cooperate in good faith on patient notification, continuity of care, and the orderly handling of patient relationships and records consistent with applicable law and professional obligations.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live restraint from a prior engagement and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an applicable covenant in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Each party bears its own attorney fees and costs unless this agreement or applicable law provides otherwise.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of the Governing Law state listed in Cover Terms. Notwithstanding any other provision, nothing in this agreement requires Employee to litigate or arbitrate outside Idaho or otherwise restricts Employee from enforcing contract rights in Idaho tribunals. Disputes will be resolved in the courts of the State of Idaho,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except that it does not supersede any separate confidentiality, invention-assignment, or trade-secret agreement the parties intend to keep in force. This agreement may be amended only in writing signed by both parties; an amendment that would extend the direct-competition restriction past eighteen months requires consideration in addition to continued employment.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(Idaho)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(Idaho)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(Idaho)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