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Idaho</w:t>
            </w:r>
          </w:p>
        </w:tc>
      </w:tr>
      <w:tr>
        <w:tc>
          <w:tcPr>
            <w:tcW w:w="3600" w:type="dxa"/>
            <w:tcMar>
              <w:top w:w="60" w:type="dxa"/>
              <w:left w:w="0" w:type="dxa"/>
              <w:bottom w:w="60" w:type="dxa"/>
              <w:right w:w="0" w:type="dxa"/>
            </w:tcMar>
          </w:tcPr>
          <w:p>
            <w:r>
              <w:rPr>
                <w:rFonts w:ascii="Arial" w:hAnsi="Arial" w:cs="Arial"/>
                <w:b/>
                <w:bCs/>
                <w:color w:val="1D2021"/>
                <w:sz w:val="22"/>
                <w:szCs w:val="22"/>
              </w:rPr>
              <w:t xml:space="preserve">Healthcare Provider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[Whether Employee is a healthcare provider whose covenant implicates profession-specific restrictions, patient access, or continuity-of-care requirements. Set this explicitly from Employee's licensed role; do not infer it from the agreement's jurisdiction.]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areas in which Employee provided services or had a significant presence or influence for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 ideally limited to the type of employment or line of business the worker actually conducted for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Consideration for Restrictive Covenants</w:t>
            </w:r>
          </w:p>
        </w:tc>
        <w:tc>
          <w:tcPr>
            <w:tcW w:w="6480" w:type="dxa"/>
            <w:tcMar>
              <w:top w:w="60" w:type="dxa"/>
              <w:left w:w="0" w:type="dxa"/>
              <w:bottom w:w="60" w:type="dxa"/>
              <w:right w:w="0" w:type="dxa"/>
            </w:tcMar>
          </w:tcPr>
          <w:p>
            <w:r>
              <w:rPr>
                <w:rFonts w:ascii="Arial" w:hAnsi="Arial" w:cs="Arial"/>
                <w:i/>
                <w:iCs/>
                <w:color w:val="1D2021"/>
                <w:sz w:val="21"/>
                <w:szCs w:val="21"/>
              </w:rPr>
              <w:t xml:space="preserve">Employee's employment or continued employment with Employer, which the parties agree is sufficient consideration for a direct-competition restriction of eighteen months or less; if any direct-competition restriction runs longer than eighteen months, the additional consideration described in this agreement</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limited so far as possible to the type of employment or line of business Employee actually conducted for Employer.</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goodwill, technologies, intellectual property, business plans, business processes and methods of operation, customers, customer lists, customer contacts and referral sources, vendors and vendor contacts, financial and marketing information, and trade secrets.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an overt act initiated by Employee that entreats, implores, pleads, or petitions a person or entity for the business or relationship at issue, and seeks something in return. Solicit does not include the mere acceptance of business, ordinary communication between Employee and another person, responding to general advertisements, or responding to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Idaho Trade Secrets Act, Idaho Code section 48-801.</w:t>
      </w:r>
    </w:p>
    <w:p>
      <w:pPr>
        <w:pStyle w:val="OABody"/>
        <w:keepNext/>
        <w:numPr>
          <w:ilvl w:val="0"/>
          <w:numId w:val="1"/>
        </w:numPr>
        <w:spacing w:before="320" w:after="120" w:line="340" w:lineRule="auto"/>
        <w:jc w:val="left"/>
      </w:pPr>
      <w:r>
        <w:rPr>
          <w:b/>
          <w:bCs/>
        </w:rPr>
        <w:t xml:space="preserve">Recitals, Key-Worker Status, and Protected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Employee acknowledges that Employee holds a key role and has access to Employer's Protected Interests.</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Employer has advised Employee that Employee may consult with an attorney before entering into this agreement, and Employee confirms having entered this agreement knowingly and voluntarily. In consideration of Employee's employment or continued employment and </w:t>
      </w:r>
      <w:r>
        <w:rPr>
          <w:b w:val="0"/>
          <w:bCs w:val="0"/>
        </w:rPr>
        <w:t xml:space="preserve">Employee's employment or continued employment with Employer, which the parties agree is sufficient consideration for a direct-competition restriction of eighteen months or less; if any direct-competition restriction runs longer than eighteen months, the additional consideration described in this agreement</w:t>
      </w:r>
      <w:r>
        <w:t xml:space="preserve">, the parties agree to the terms of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in Cover Terms, which is intended to last as long as the information remains a trade secret. Employee's obligations regarding other Confidential Information continue for the Other Confidential Information Duration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the National Labor Relations Act and other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accepting business initiated by a Covered Customer or from engaging in ordinary communications with a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employment or a line of business that is in direct competition with Employer's business, within the Restricted Territory, by engaging in, being employed by, consulting for, or having an active ownership interest in any Competitive Business. If any Specified Competitors are listed in Cover Terms, this restriction is limited to those Specified Competitors. The Restricted Territory is limited to the areas where Employee provided services or had a significant presence or influence, and the Competitive Business is limited to the type of employment or line of business Employee conducted for Employer.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 under the National Labor Relations Act.</w:t>
      </w:r>
    </w:p>
    <w:p>
      <w:pPr>
        <w:pStyle w:val="OABody"/>
        <w:keepNext/>
        <w:numPr>
          <w:ilvl w:val="0"/>
          <w:numId w:val="1"/>
        </w:numPr>
        <w:spacing w:before="320" w:after="120" w:line="340" w:lineRule="auto"/>
        <w:jc w:val="left"/>
      </w:pPr>
      <w:r>
        <w:rPr>
          <w:b/>
          <w:bCs/>
        </w:rPr>
        <w:t xml:space="preserve">Healthcare Provider and Patient Access</w:t>
      </w:r>
    </w:p>
    <w:p>
      <w:pPr>
        <w:pStyle w:val="OABody"/>
        <w:spacing w:before="0" w:after="120" w:line="340" w:lineRule="auto"/>
        <w:ind w:left="720"/>
      </w:pPr>
      <w:r>
        <w:t xml:space="preserve">Where Employee is a healthcare provider, on Employee's departure the parties will cooperate in good faith on patient notification, continuity of care, and the orderly handling of patient relationships and records consistent with applicable law and professional obligations.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live restraint from a prior engagement and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an applicable covenant in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Each party bears its own attorney fees and costs unless this agreement or applicable law provides otherwise.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of the Governing Law state listed in Cover Terms. Notwithstanding any other provision, nothing in this agreement requires Employee to litigate or arbitrate outside Idaho or otherwise restricts Employee from enforcing contract rights in Idaho tribunals. Disputes will be resolved in the courts of the State of Idaho,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except that it does not supersede any separate confidentiality, invention-assignment, or trade-secret agreement the parties intend to keep in force. This agreement may be amended only in writing signed by both parties; an amendment that would extend the direct-competition restriction past eighteen months requires consideration in addition to continued employment.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(Idaho)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(Idaho)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(Idaho)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