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and prospective customers with whom Employee had material contact during the </w:t>
      </w:r>
      <w:r>
        <w:rPr>
          <w:highlight w:val="yellow"/>
        </w:rPr>
        <w:t xml:space="preserve">{covered_customer_period}</w:t>
      </w:r>
      <w:r>
        <w:t xml:space="preserve"> before termination of employment, meaning customers Employee dealt with on Employer's behalf, whose dealings with Employer Employee coordinated or supervised, about whom Employee obtained confidential information in the ordinary course of business, or from whom Employee earned compensation, commissions, or earnings.</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substantial customer relationships, and customer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 if any is stated.</w:t>
      </w:r>
    </w:p>
    <w:p>
      <w:pPr>
        <w:pStyle w:val="OABody"/>
        <w:numPr>
          <w:ilvl w:val="1"/>
          <w:numId w:val="1"/>
        </w:numPr>
        <w:spacing w:before="0" w:after="120" w:line="340" w:lineRule="auto"/>
      </w:pPr>
      <w:r>
        <w:rPr>
          <w:b/>
          <w:bCs/>
          <w:color w:val="117086"/>
        </w:rPr>
        <w:t xml:space="preserve">“Solicit”</w:t>
      </w:r>
      <w:r>
        <w:t xml:space="preserve"> means to directly or indirectly, or by assisting others, solicit or attempt to solicit business, including actively seeking prospective customers,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derives independent economic value from not being generally known and is the subject of reasonable efforts to maintain its secrecy.</w:t>
      </w:r>
    </w:p>
    <w:p>
      <w:pPr>
        <w:pStyle w:val="OABody"/>
        <w:keepNext/>
        <w:numPr>
          <w:ilvl w:val="0"/>
          <w:numId w:val="1"/>
        </w:numPr>
        <w:spacing w:before="320" w:after="120" w:line="340" w:lineRule="auto"/>
        <w:jc w:val="left"/>
      </w:pPr>
      <w:r>
        <w:rPr>
          <w:b/>
          <w:bCs/>
        </w:rPr>
        <w:t xml:space="preserve">Recitals, Consideration, and Protected Interests</w:t>
      </w:r>
    </w:p>
    <w:p>
      <w:pPr>
        <w:pStyle w:val="OABody"/>
        <w:spacing w:before="0" w:after="120" w:line="340" w:lineRule="auto"/>
        <w:ind w:left="720"/>
      </w:pPr>
      <w:r>
        <w:t xml:space="preserve">Each covenant is supported by and no broader than necessary to protect Employer's Protected Interests. In consideration for this agreement, Employer provides Employee with </w:t>
      </w:r>
      <w:r>
        <w:rPr>
          <w:highlight w:val="yellow"/>
        </w:rPr>
        <w:t xml:space="preserve">{additional_consideration}</w:t>
      </w:r>
      <w:r>
        <w:t xml:space="preserve">.</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restrictions in this agreement are reasonable and necessary to protect Employer's Protected Interests.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trade-secret obligations continue while the information remains a trade secret. Other confidentiality obligations continue for the duration specified in Cover Terms and end when the information is no longer confidential. This obligation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making disclosures required by law, court order, or a government investigation; or (e) filing a sealed complaint in court using Confidential Information without liability. Pursuant to the Defend Trade Secrets Act (18 U.S.C. § 1833(b)), Employee may not be held criminally or civilly liable under any federal or state trade-secret law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Employee must not Solicit the business of any Covered Customer for purposes of providing products or services that are competitive with those provided by Employer's business.</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Employee's covered function is: </w:t>
      </w:r>
      <w:r>
        <w:rPr>
          <w:highlight w:val="yellow"/>
        </w:rPr>
        <w:t xml:space="preserve">{covered_employee_function}</w:t>
      </w:r>
      <w:r>
        <w:t xml:space="preserve">.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The restrictive covenants apply to a physician or other health care practitioner only if the covered function identified in Cover Terms applies to Employee.</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 Employer will limit any such disclosure to factual statements about the covenants in this agreement.</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Each Restricted Period begins when Employee's employment ends and expires on its stated end date, notwithstanding any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temporary and permanent injunctive relief and any other appropriate and effective remedy available at law or equity, including relief available under applicable trade-secret law to prevent actual or threatened misappropriation of trade secrets. Injunctive relief runs only through the covenant's stated Restricted Period.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as long as the information remains confidential or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that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(Georgia)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(Georgia)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(Georgia)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