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Advance Delivery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{notice_date}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on whose behalf Employee would perform the services or roles, or participate in the industry,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is readily ascertainable to the public, information that arises from Employee's general training, knowledge, skill, or experience,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“Highly Compensated Employee”</w:t>
      </w:r>
      <w:r>
        <w:t xml:space="preserve"> means an employee, other than a broadcast employee, who is reasonably expected to earn from Employer in a consecutive 12-month period, or who earned from Employer in the preceding consecutive 12-month period, compensation at or above the Minimum Qualifying Annual Compensation listed in Cover Terms, as required by D.C. Code § 32-581.01(10). A broadcast employee — an on- or off-air creator for a broadcaster — is excluded from this category.</w:t>
      </w:r>
    </w:p>
    <w:p>
      <w:pPr>
        <w:pStyle w:val="OABody"/>
        <w:numPr>
          <w:ilvl w:val="1"/>
          <w:numId w:val="1"/>
        </w:numPr>
        <w:spacing w:before="0" w:after="120" w:line="340" w:lineRule="auto"/>
      </w:pPr>
      <w:r>
        <w:rPr>
          <w:b/>
          <w:bCs/>
          <w:color w:val="117086"/>
        </w:rPr>
        <w:t xml:space="preserve">“Medical Specialist”</w:t>
      </w:r>
      <w:r>
        <w:t xml:space="preserve"> means a Highly Compensated Employee engaged primarily in the delivery of medical services who holds a license to practice medicine, is a physician, has completed a medical residency, and receives total compensation at or above the Medical Specialist Minimum Compensation listed in Cover Terms, as defined in D.C. Code § 32-581.01(12).</w:t>
      </w:r>
    </w:p>
    <w:p>
      <w:pPr>
        <w:pStyle w:val="OABody"/>
        <w:numPr>
          <w:ilvl w:val="1"/>
          <w:numId w:val="1"/>
        </w:numPr>
        <w:spacing w:before="0" w:after="120" w:line="340" w:lineRule="auto"/>
      </w:pPr>
      <w:r>
        <w:rPr>
          <w:b/>
          <w:bCs/>
          <w:color w:val="117086"/>
        </w:rPr>
        <w:t xml:space="preserve">“Protected Interests”</w:t>
      </w:r>
      <w:r>
        <w:t xml:space="preserve"> means Employer's legitimate interest in protecting its Trade Secrets and its confidential and proprietary information.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For any Non-Competition covenant, the Restricted Period is stated and measured in calendar days from separation.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 including information that derives independent economic value from not being generally known to, and not being readily ascertainable through proper means by, another person who can obtain economic value from its disclosure or use.</w:t>
      </w:r>
    </w:p>
    <w:p>
      <w:pPr>
        <w:pStyle w:val="OABody"/>
        <w:keepNext/>
        <w:numPr>
          <w:ilvl w:val="0"/>
          <w:numId w:val="1"/>
        </w:numPr>
        <w:spacing w:before="320" w:after="120" w:line="340" w:lineRule="auto"/>
        <w:jc w:val="left"/>
      </w:pPr>
      <w:r>
        <w:rPr>
          <w:b/>
          <w:bCs/>
        </w:rPr>
        <w:t xml:space="preserve">Recitals and Protected-Interest Statement</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Trade Secrets and confidential and proprietary information in the course of employment, and each covenant in this agreement protects Employer's Protected Interests.</w:t>
      </w:r>
    </w:p>
    <w:p>
      <w:pPr>
        <w:pStyle w:val="OABody"/>
        <w:keepNext/>
        <w:numPr>
          <w:ilvl w:val="0"/>
          <w:numId w:val="1"/>
        </w:numPr>
        <w:spacing w:before="320" w:after="120" w:line="340" w:lineRule="auto"/>
        <w:jc w:val="left"/>
      </w:pPr>
      <w:r>
        <w:rPr>
          <w:b/>
          <w:bCs/>
        </w:rPr>
        <w:t xml:space="preserve">Regime and Worker Classification</w:t>
      </w:r>
    </w:p>
    <w:p>
      <w:pPr>
        <w:pStyle w:val="OABody"/>
        <w:spacing w:before="0" w:after="120" w:line="340" w:lineRule="auto"/>
        <w:ind w:left="720"/>
      </w:pPr>
      <w:r>
        <w:t xml:space="preserve">Any Non-Competition covenant in this agreement does not apply unless Employee's compensation equals or exceeds </w:t>
      </w:r>
      <w:r>
        <w:rPr>
          <w:highlight w:val="yellow"/>
        </w:rPr>
        <w:t xml:space="preserve">{minimum_qualifying_compensation}</w:t>
      </w:r>
      <w:r>
        <w:t xml:space="preserve"> and Employee satisfies the objective work-location conditions stated in this agreement. The confidentiality, non-solicitation, and non-disparagement obligations below do not depend on those conditions.</w:t>
      </w:r>
    </w:p>
    <w:p>
      <w:pPr>
        <w:pStyle w:val="OABody"/>
        <w:keepNext/>
        <w:numPr>
          <w:ilvl w:val="0"/>
          <w:numId w:val="1"/>
        </w:numPr>
        <w:spacing w:before="320" w:after="120" w:line="340" w:lineRule="auto"/>
        <w:jc w:val="left"/>
      </w:pPr>
      <w:r>
        <w:rPr>
          <w:b/>
          <w:bCs/>
        </w:rPr>
        <w:t xml:space="preserve">Timing, Consideration, and Advance Delivery</w:t>
      </w:r>
    </w:p>
    <w:p>
      <w:pPr>
        <w:pStyle w:val="OABody"/>
        <w:numPr>
          <w:ilvl w:val="1"/>
          <w:numId w:val="1"/>
        </w:numPr>
        <w:spacing w:before="0" w:after="120" w:line="340" w:lineRule="auto"/>
      </w:pPr>
      <w:r>
        <w:t xml:space="preserve">This agreement is effective as of the Effective Date listed in Cover Terms.</w:t>
      </w:r>
    </w:p>
    <w:p>
      <w:pPr>
        <w:pStyle w:val="OABody"/>
        <w:numPr>
          <w:ilvl w:val="1"/>
          <w:numId w:val="1"/>
        </w:numPr>
        <w:spacing w:before="0" w:after="120" w:line="340" w:lineRule="auto"/>
      </w:pPr>
      <w:r>
        <w:t xml:space="preserve">For any Non-Competition covenant in this agreement, Employer provided the provision to Employee in writing on the Advance Delivery Date listed in Cover Terms, at least 14 days before Employee commenced employment or, if Employer already employed Employee, at least 14 days before Employee had to execute this agreement. Employer will provide any other notice or written disclosure required by applicable law.</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which is intended to last as long as the information remains a trade secret. Employee's obligations regarding other Confidential Information continue for the period specified in Cover Terms under Other Confidential Information Duration. This section does not bar Employee from performing work for another for pay or operating Employee's own business, and it does not restrict Employee from using information that arises from Employee's general training, knowledge, skill, or experience, information readily ascertainable to the public, or information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any District of Columbia agency,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that arises from Employee's general training, knowledge, skill, or experience, information readily ascertainable to the public, or information Employee otherwise has a right to disclose as legally protected conduct;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 This covenant does not prohibit Employee from performing work for another for pay or operating Employee's own business. It is confined to Employee's own solicitation of Covered Employees and does not restrict the mobility of Employer's workforce generally.</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prohibit Employee from performing work for another for pay or operating Employee's own business.</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perform work for another for pay in a Competitive Business, or operate Employee's own Competitive Business, within the Restricted Territory. This covenant does not apply unless Employee's compensation equals or exceeds </w:t>
      </w:r>
      <w:r>
        <w:rPr>
          <w:highlight w:val="yellow"/>
        </w:rPr>
        <w:t xml:space="preserve">{minimum_qualifying_compensation}</w:t>
      </w:r>
      <w:r>
        <w:t xml:space="preserve">. The restriction is limited to the services, roles, industry, or competing entities set out in Cover Terms under Competitive Business and any Specified Competitors, and to the Restricted Territory. The restriction may not exceed 365 calendar days from separation, or 730 calendar days if Employee is a Medical Specialist.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Named-Competitor Narrowing</w:t>
      </w:r>
    </w:p>
    <w:p>
      <w:pPr>
        <w:pStyle w:val="OABody"/>
        <w:spacing w:before="0" w:after="120" w:line="340" w:lineRule="auto"/>
        <w:ind w:left="720"/>
      </w:pPr>
      <w:r>
        <w:t xml:space="preserve">Where Employer has identified its competitors in Cover Terms under Specified Competitors, the functional scope of the Non-Competition covenant is limited to those named competing entities and businesses of the same character. Where no competitors are named, the functional scope is limited to the Competitive Business described in Cover Terms.</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pPr>
        <w:pStyle w:val="OABody"/>
        <w:keepNext/>
        <w:numPr>
          <w:ilvl w:val="0"/>
          <w:numId w:val="1"/>
        </w:numPr>
        <w:spacing w:before="320" w:after="120" w:line="340" w:lineRule="auto"/>
        <w:jc w:val="left"/>
      </w:pPr>
      <w:r>
        <w:rPr>
          <w:b/>
          <w:bCs/>
        </w:rPr>
        <w:t xml:space="preserve">No Retaliation</w:t>
      </w:r>
    </w:p>
    <w:p>
      <w:pPr>
        <w:pStyle w:val="OABody"/>
        <w:spacing w:before="0" w:after="120" w:line="340" w:lineRule="auto"/>
        <w:ind w:left="720"/>
      </w:pPr>
      <w:r>
        <w:t xml:space="preserve">Employer will not retaliate or threaten to retaliate against Employee for refusing to agree to, failing to comply with, or complaining about a non-compete provision the District bans (D.C. Code § 32-581.02(b)). Nothing in this agreement conditions Employee's employment, advancement, or benefits on signing or complying with a provision that D.C. Code § 32-581.02 voids, and any language that would do so is of no effect.</w:t>
      </w:r>
    </w:p>
    <w:p>
      <w:pPr>
        <w:pStyle w:val="OABody"/>
        <w:keepNext/>
        <w:numPr>
          <w:ilvl w:val="0"/>
          <w:numId w:val="1"/>
        </w:numPr>
        <w:spacing w:before="320" w:after="120" w:line="340" w:lineRule="auto"/>
        <w:jc w:val="left"/>
      </w:pPr>
      <w:r>
        <w:rPr>
          <w:b/>
          <w:bCs/>
        </w:rPr>
        <w:t xml:space="preserve">Sale-of-Business Confinement</w:t>
      </w:r>
    </w:p>
    <w:p>
      <w:pPr>
        <w:pStyle w:val="OABody"/>
        <w:spacing w:before="0" w:after="120" w:line="340" w:lineRule="auto"/>
        <w:ind w:left="720"/>
      </w:pPr>
      <w:r>
        <w:t xml:space="preserve">No provision of this agreement applies as a sale-of-business covenant.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a confidentiality or trade-secret duty in this agreement to a prospective employer or business associate of Employee. Employer may disclose a Non-Competition covenant only if Employee satisfies the compensation and work-location conditions stated in this agreement and the covenant remains within its stated duration, territory, and functional scope.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 Any Non-Competition covenant's total restraint stays within the applicable 365-calendar-day or 730-calendar-day cap measured from the date Employee separates from employment (D.C. Code § 32-581.03(a)(1)(C)).</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the confidentiality, trade-secret, non-solicitation, or a valid Non-Competition covenant in this agreement may cause Employer irreparable harm for which money damages would be inadequate, and Employer may seek injunctive or other equitable relief in addition to any other remedies available at law. Employer will not seek to enforce a non-compete when Employee does not satisfy the compensation and work-location conditions stated in this agreement. Any fee-shifting between the parties is mutual and prevailing-party based.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 and is drawn in separable tiers so that an unenforceable covenant does not affect the others.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as long as the relevant information remains a trade secret. A Non-Competition covenant expires 365 calendar days after separation, or 730 calendar days after separation if Employee is a Medical Specialist, unless Cover Terms specify a shorter period.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takes each covenant subject to D.C. Code §§ 32-581.01–.04b as of the enforcement date: assignment does not validate any void non-compete provision or convert an employee-side covenant into a sale-of-business covenant.</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an Employee who performs the majority of work for Employer in the District, the parties select District of Columbia law and a District of Columbia forum for disputes over the enforceability of the covenants. Any valid collective bargaining agreement governing the relationship controls. All other disputes will be resolved in the courts of the Governing Law jurisdiction,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delivered within any notice period required by applicable law.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(District of Columbia)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(District of Columbia)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(District of Columbia)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