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knowledge, skill, or experience,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whom Employee actually serviced or solicited,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customer lists, and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greater than is required for that protection. The parties acknowledge that each covenant is meant to guard Employer's Confidential Information, Trade Secrets, customer lists, and customer goodwill and not to eliminate ordinary competition, and that Employer would not provide Employee with access to these Protected Interests absent the protections in this agreement. Each covenant is intended to be reasonable in time, geographic scope, and the protection it affords, sized to Employee's actual role and Employer's actual market.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If Employee signs this agreement after employment begins, Employer provides continued employment in exchange for Employee's agreement to these covenants. If this agreement is signed at the outset of employment, the offer and commencement of employment is the consideration.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and last as long as the information remains a trade secret. Employee's obligations regarding other Confidential Information continue for the period specified in Cover Terms under Other Confidential Information Duration.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required by law, court order, or a government investigation, with notice to Employer where lawful;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 Employer provides this notice in satisfaction of 18 U.S.C. § 1833(b)(3).</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limited to customers Employee serviced or solicited for Employer, reaches only Covered Customers, and is no broader than necessary to protect Employer's goodwill in its customer relationships.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applies only to Covered Customers with whom Employee had material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protect Employer's Protected Interests — its Confidential Information, Trade Secrets, customer lists, and customer goodwill — and not to restrain ordinary competition. The parties intend this covenant to be reasonable in time and territory, to afford only fair protection to Employer's Protected Interests, and to impose no greater restraint than necessary, with its time and territory sized to Employee's actual role and Employer's actual market. If Employer has identified specific competitors in Cover Terms under Specified Competitors, this covenant is limited to those named competitors and their businesses. Passive Public Holdings are permitted. This covenant is subject to, and does not override, the occupation-specific rules stated below in the Occupation-Specific Limits section.</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covenant is drawn no broader than necessary to protect Employer's Protected Interests.</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Occupation-Specific Limits (Physicians, Physician Assistants, APRNs, Security Guards, Broadcast Employees, Home-Care Workers)</w:t>
      </w:r>
    </w:p>
    <w:p>
      <w:pPr>
        <w:pStyle w:val="OABody"/>
        <w:spacing w:before="0" w:after="120" w:line="340" w:lineRule="auto"/>
        <w:ind w:left="720"/>
      </w:pPr>
      <w:r>
        <w:t xml:space="preserve">Notwithstanding any other provision of this agreement, the following occupation-specific limits apply and control:</w:t>
      </w:r>
    </w:p>
    <w:p>
      <w:pPr>
        <w:pStyle w:val="OABody"/>
        <w:numPr>
          <w:ilvl w:val="2"/>
          <w:numId w:val="1"/>
        </w:numPr>
        <w:spacing w:after="80"/>
      </w:pPr>
      <w:r>
        <w:rPr>
          <w:b/>
          <w:bCs/>
        </w:rPr>
        <w:t xml:space="preserve">Physicians.</w:t>
      </w:r>
      <w:r>
        <w:t xml:space="preserve"> A physician non-compete may not exceed one year or fifteen miles from the physician's primary practice site and does not apply following expiration without a qualifying renewal offer, termination by Employer without cause, or the other termination circumstances specified in Cover Terms.</w:t>
      </w:r>
    </w:p>
    <w:p>
      <w:pPr>
        <w:pStyle w:val="OABody"/>
        <w:numPr>
          <w:ilvl w:val="2"/>
          <w:numId w:val="1"/>
        </w:numPr>
        <w:spacing w:after="80"/>
      </w:pPr>
      <w:r>
        <w:rPr>
          <w:b/>
          <w:bCs/>
        </w:rPr>
        <w:t xml:space="preserve">Physician assistants and advanced practice registered nurses.</w:t>
      </w:r>
      <w:r>
        <w:t xml:space="preserve"> A physician-assistant or advanced-practice-registered-nurse non-compete may not exceed one year or fifteen miles from the worker's primary practice site and does not apply after expiration without renewal or termination by Employer without cause.</w:t>
      </w:r>
    </w:p>
    <w:p>
      <w:pPr>
        <w:pStyle w:val="OABody"/>
        <w:numPr>
          <w:ilvl w:val="2"/>
          <w:numId w:val="1"/>
        </w:numPr>
        <w:spacing w:after="80"/>
      </w:pPr>
      <w:r>
        <w:rPr>
          <w:b/>
          <w:bCs/>
        </w:rPr>
        <w:t xml:space="preserve">Security guards.</w:t>
      </w:r>
      <w:r>
        <w:t xml:space="preserve"> The non-compete does not apply if Employee works in federal occupational classification 33-9032, except to the extent Employee obtained Employer's Trade Secrets.</w:t>
      </w:r>
    </w:p>
    <w:p>
      <w:pPr>
        <w:pStyle w:val="OABody"/>
        <w:numPr>
          <w:ilvl w:val="2"/>
          <w:numId w:val="1"/>
        </w:numPr>
        <w:spacing w:after="80"/>
      </w:pPr>
      <w:r>
        <w:rPr>
          <w:b/>
          <w:bCs/>
        </w:rPr>
        <w:t xml:space="preserve">Broadcast employees.</w:t>
      </w:r>
      <w:r>
        <w:t xml:space="preserve"> If Employee performs broadcast-industry work, this agreement does not restrict Employee's post-employment geographic work, require disclosure of another employment offer, or require Employee to accept Employer's matching terms.</w:t>
      </w:r>
    </w:p>
    <w:p>
      <w:pPr>
        <w:pStyle w:val="OABody"/>
        <w:numPr>
          <w:ilvl w:val="2"/>
          <w:numId w:val="1"/>
        </w:numPr>
        <w:spacing w:after="80"/>
      </w:pPr>
      <w:r>
        <w:rPr>
          <w:b/>
          <w:bCs/>
        </w:rPr>
        <w:t xml:space="preserve">Homemaker, companion, and home-health workers.</w:t>
      </w:r>
      <w:r>
        <w:t xml:space="preserve"> No non-compete applies to Employee while Employee provides homemaker, companion, or home-health services, and no no-hire restriction applies between a homemaker-companion agency and its client.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under Connecticut law and Employer has a reasonable belief that Employee may breach that covenant.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parties intend the Restricted Period for that covenant to be extended by the period of the breach, subject to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Any fee award must be mutual and based on prevailing-party status.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each covenant survives independently of the others.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(Connecticut)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(Connecticut)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(Connecticut)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