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company property, and legally protected business information.</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“Trade Secrets”</w:t>
      </w:r>
      <w:r>
        <w:t xml:space="preserve"> means Employer's non-public information that derives independent economic value from not being generally known or readily ascertainable and that Employer takes reasonable measures to keep secret.</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the confidentiality, company-property, and non-disparagement obligations in this agreement are intended to protect Employer's Protected Interests without restraining Employee from engaging in a lawful profession, trade, or business.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specified in Cover Terms, to the extent the information remains a trade secret. Employee's obligations regarding other Confidential Information continue for the Other Confidential Information Duration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Employee's confidentiality, trade-secret, return-of-property, and other lawful obligations under this agreement to any prospective employer or business associate of Employee if Employer has a reasonable belief that Employee may breach those lawful obligations. Employee consents to this disclosure.</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to prevent actual or threatened misappropriation of trade secrets and to enforce Employee's confidentiality and return-of-property obligations. If a party prevails in an action to enforce a lawful obligation under this agreement, the non-prevailing party must reimburse the prevailing party's reasonable attorney's fees and costs to the extent permitted by applicable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For an Employee who primarily resides and works in California, this agreement does not require Employee, as a condition of employment, to adjudicate a claim arising in California outside California or to waive the substantive protection of California law, except where Employee was individually represented by counsel in negotiating a different provision.</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(California)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(California)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(California)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