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 the date the last party signs. It anchors the durations stated in Cover Terms.]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Arkansas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 or had material customer contact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intellectual property, customer lists, goodwill with customers, knowledge of its business practices, methods, profit margins, costs, other confidential business information that increases in value from not being known by a competitor, the training and education of its employees, and other valuable employer data that Employer would reasonably seek to safeguard from a competitor.</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Business Interests</w:t>
      </w:r>
    </w:p>
    <w:p>
      <w:pPr>
        <w:pStyle w:val="OABody"/>
        <w:spacing w:before="0" w:after="120" w:line="340" w:lineRule="auto"/>
        <w:ind w:left="720"/>
      </w:pPr>
      <w:r>
        <w:t xml:space="preserve">Employer and Employee acknowledge that each restrictive covenant is ancillary to their employment relationship, is supported by one or more of Employer's Protected Interests, and is limited in time and scope to protect those interests. Employer would not provide Employee with access to its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Employee enters into the restrictive covenants in consideration of Employee's continued employment with Employer. Employer has given Employee the opportunity to consult with an attorney before entering into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Employee's obligations regarding other Confidential Information continue for the period specified in Cover Terms. Nothing in this agreement impairs, limits, or changes either party's protections and rights under applicable law.</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applies only to customers with whom Employee had material contact.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applies only to customers with whom Employee had material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Where Cover Terms name Specified Competitors, this covenant is limited to those entities and their businesses. Where no geographic restriction is stated, the covenant is limited by the Covered Customer, activity, and Competitive Business definitions. The Restricted Period must not exceed two years after termination. Passive Public Holdings are permitted. This covenant does not restrict a physician's right to practice within the physician's scope of practice.</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The Restricted Period must not exceed two years after termination.</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Physician Practice Restriction Carve-Out</w:t>
      </w:r>
    </w:p>
    <w:p>
      <w:pPr>
        <w:pStyle w:val="OABody"/>
        <w:spacing w:before="0" w:after="120" w:line="340" w:lineRule="auto"/>
        <w:ind w:left="720"/>
      </w:pPr>
      <w:r>
        <w:t xml:space="preserve">Notwithstanding any other provision of this agreement, no restrictive covenant restricts the right of a physician licensed to practice medicine or osteopathy in Arkansas to practice within the physician's scope of practice. Obligations that do not restrict that right, including confidentiality, trade-secret, property-return, and non-disparagement obligations, remain in effect.</w:t>
      </w:r>
    </w:p>
    <w:p>
      <w:pPr>
        <w:pStyle w:val="OABody"/>
        <w:keepNext/>
        <w:numPr>
          <w:ilvl w:val="0"/>
          <w:numId w:val="1"/>
        </w:numPr>
        <w:spacing w:before="320" w:after="120" w:line="340" w:lineRule="auto"/>
        <w:jc w:val="left"/>
      </w:pPr>
      <w:r>
        <w:rPr>
          <w:b/>
          <w:bCs/>
        </w:rPr>
        <w:t xml:space="preserve">Licensed-Professional Statutory Scope</w:t>
      </w:r>
    </w:p>
    <w:p>
      <w:pPr>
        <w:pStyle w:val="OABody"/>
        <w:spacing w:before="0" w:after="120" w:line="340" w:lineRule="auto"/>
        <w:ind w:left="720"/>
      </w:pPr>
      <w:r>
        <w:t xml:space="preserve">If Employee holds a professional license under Arkansas law, no covenant restricts Employee from practicing that licensed profession to the extent prohibited by applicable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Employer will limit any notice to obligations then in effect under this agreement.</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Employer may seek to have the Restricted Period for that covenant extended by one day for each day of the breach, so that the full duration of the restriction runs from the date the breach ends. Any tolling is subject to applicable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a covenant not to compete may cause irreparable harm for which money damages would be inadequate. Other defenses and the parties' rights to monetary damages are preserved.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 successor may enforce an assigned covenant only to the extent the Protected Interests the covenant protects transferred with the business.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