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Arizona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including its Confidential Information, its Trade Secrets, and its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customer relationships and goodwill on Employer's behalf, and each covenant is included to protect those Protected Interests and not to restrain ordinary competition. Employer would not provide Employee with access to the Protected Interests absent the protections in this agreement. Employer and Employee agree that each covenant is no greater than necessary to protect Employer's Protected Interests and is reasonable in time, territory, and scope of restricted activity, and the parties intend each covenant to be enforceable as written.</w:t>
      </w:r>
    </w:p>
    <w:p>
      <w:pPr>
        <w:pStyle w:val="OABody"/>
        <w:keepNext/>
        <w:numPr>
          <w:ilvl w:val="0"/>
          <w:numId w:val="1"/>
        </w:numPr>
        <w:spacing w:before="320" w:after="120" w:line="340" w:lineRule="auto"/>
        <w:jc w:val="left"/>
      </w:pPr>
      <w:r>
        <w:rPr>
          <w:b/>
          <w:bCs/>
        </w:rPr>
        <w:t xml:space="preserve">Broadcast Employers</w:t>
      </w:r>
    </w:p>
    <w:p>
      <w:pPr>
        <w:pStyle w:val="OABody"/>
        <w:spacing w:before="0" w:after="120" w:line="340" w:lineRule="auto"/>
        <w:ind w:left="720"/>
      </w:pPr>
      <w:r>
        <w:t xml:space="preserve">Employer represents that it does not provide broadcasting services over a television or radio station or network. If Employer does provide such broadcasting services, no non-competition covenant in this agreement applies to Employee.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The parties acknowledge that this agreement is supported by adequate consideration: if this agreement is signed at the outset of employment, the offer and commencement of employment; if Employee is an existing at-will employee, Employer's continuation of the at-will employment relationship in exchange for Employee's assent to the covenants in this agreement. Employee acknowledges having had the opportunity to consult with independent legal counsel before signing this agreement, and that the restrictions in this agreement are reasonable and necessary to protect Employer's Protected Interests.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for as long as the information remains a Trade Secret. Employee's obligations regarding other Confidential Information continue for the period specified in Cover Terms under Other Confidential Information Duration. This confidentiality obligation operates alongside, and independent of, the other covenants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subject to the Broadcast Employers section and is limited to Employee's actual role and Employer's actual market. If Cover Terms list Specified Competitors, this covenant is limited to those named competitors and their affiliates.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applicable law.</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licensed health care practitioner, each covenant restraining Employee from practicing Employee's profession is confined to the Restricted Territory and Restricted Period stated in Cover Terms. No covenant prohibits Employee from continuing care for an existing patient or responding to a medical emergency.</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No extension under this section is open-ended or indefinite.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it must be severed to the extent permitted by law, and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(Arizona)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(Arizona)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(Arizona)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