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Covenant Relationship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{covenant_relationship_type}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Employer procured at its own expense and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Alaska Uniform Trade Secrets Act, AS 45.50.940.</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broader than is reasonably necessary for that protection. The parties acknowledge that each covenant is meant to guard Employer's Confidential Information, trade secrets, and customer goodwill and not to eliminate ordinary competition, and that each restraint is intended to be no broader than reasonably necessary in duration, geographic scope, and activity to protect the interest at stake.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the consideration stated in it, which may include initial or continued employment, access to Confidential Information and customer relationships, training, compensation, a raise, or a bonus. If this agreement is signed at the outset of employment, the offer and commencement of employment is the consideration.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The parties intend that these return, deletion, and certification mechanics support Employer's protection of its Confidential Information and trade secrets.</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the information and customers Employer procured at its own expense; it reaches only Covered Customers with whom Employee had material contact and leaves Employee free to compete generally. This covenant does not apply where Employee had no access to Confidential Information relating to the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does not prohibit Employee from practicing Employee's specialty. It reaches only Covered Customers with whom Employee had material contact and to whom Employee had access to Confidential Information.</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and their businesses.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restriction primarily targets active or material ownership in private competitors and is drawn no broader than necessary to protect Employer's Protected Interests. Passive Public Holdings are permitted.</w:t>
      </w:r>
    </w:p>
    <w:p>
      <w:r>
        <w:t xml:space="preserve">{END-IF}</w:t>
      </w:r>
    </w:p>
    <w:p>
      <w:r>
        <w:t xml:space="preserve">{IF covenant_relationship_type}</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Where the covenant relationship type in Cover Terms is a sale of a business, Employee must not compete with the purchased business during the Restricted Period within the Restricted Territory in a manner that impairs the goodwill the buyer purchased. This restriction does not prohibit Employee from practicing a profession in any capacity.</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Any covenant in this agreement restraining Employee from the practice of a health-care profession is limited to the Restricted Territory and Restricted Period stated in Cover Terms. The covenant does not restrict work where doing so would materially reduce access to free or low-cost care for a population in need.</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subject to any maximum period permitted by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Any covenant tied to a business sale is read together with the Sale-of-Business Covenants section.</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whether written or oral. No prior or contemporaneous oral promise or side agreement on this subject is part of the parties' bargain or enforceable against either party.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