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Alaska</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Covenant Relationship Type</w:t>
            </w:r>
          </w:p>
        </w:tc>
        <w:tc>
          <w:tcPr>
            <w:tcW w:w="6480" w:type="dxa"/>
            <w:tcMar>
              <w:top w:w="60" w:type="dxa"/>
              <w:left w:w="0" w:type="dxa"/>
              <w:bottom w:w="60" w:type="dxa"/>
              <w:right w:w="0" w:type="dxa"/>
            </w:tcMar>
          </w:tcPr>
          <w:p>
            <w:r>
              <w:rPr>
                <w:rFonts w:ascii="Arial" w:hAnsi="Arial" w:cs="Arial"/>
                <w:color w:val="1D2021"/>
                <w:sz w:val="22"/>
                <w:szCs w:val="22"/>
              </w:rPr>
              <w:t xml:space="preserve">employment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whom Employer procured at its own expense and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Alaska Uniform Trade Secrets Act, AS 45.50.940.</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intended to protect one or more of Employer's Protected Interests and to impose no restraint broader than is reasonably necessary for that protection. The parties acknowledge that each covenant is meant to guard Employer's Confidential Information, trade secrets, and customer goodwill and not to eliminate ordinary competition, and that each restraint is intended to be no broader than reasonably necessary in duration, geographic scope, and activity to protect the interest at stake.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the consideration stated in it, which may include initial or continued employment, access to Confidential Information and customer relationships, training, compensation, a raise, or a bonus. If this agreement is signed at the outset of employment, the offer and commencement of employment is the consideration. Employee acknowledges having had the opportunity to consult with independent legal counsel before signing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 The parties intend that these return, deletion, and certification mechanics support Employer's protection of its Confidential Information and trade secrets.</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goodwill.</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is limited to the information and customers Employer procured at its own expense; it reaches only Covered Customers with whom Employee had material contact and leaves Employee free to compete generally. This covenant does not apply where Employee had no access to Confidential Information relating to the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does not prohibit Employee from practicing Employee's specialty. It reaches only Covered Customers with whom Employee had material contact and to whom Employee had access to Confidential Information.</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is limited to those named competitors and their businesses.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restriction primarily targets active or material ownership in private competitors and is drawn no broader than necessary to protect Employer's Protected Interests. Passive Public Holdings are permitted.</w:t>
      </w:r>
    </w:p>
    <w:p>
      <w:pPr>
        <w:pStyle w:val="OABody"/>
        <w:keepNext/>
        <w:numPr>
          <w:ilvl w:val="0"/>
          <w:numId w:val="1"/>
        </w:numPr>
        <w:spacing w:before="320" w:after="120" w:line="340" w:lineRule="auto"/>
        <w:jc w:val="left"/>
      </w:pPr>
      <w:r>
        <w:rPr>
          <w:b/>
          <w:bCs/>
        </w:rPr>
        <w:t xml:space="preserve">Sale-of-Business Covenants</w:t>
      </w:r>
    </w:p>
    <w:p>
      <w:pPr>
        <w:pStyle w:val="OABody"/>
        <w:spacing w:before="0" w:after="120" w:line="340" w:lineRule="auto"/>
        <w:ind w:left="720"/>
      </w:pPr>
      <w:r>
        <w:t xml:space="preserve">Where the covenant relationship type in Cover Terms is a sale of a business, Employee must not compete with the purchased business during the Restricted Period within the Restricted Territory in a manner that impairs the goodwill the buyer purchased. This restriction does not prohibit Employee from practicing a profession in any capacity.</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Any covenant in this agreement restraining Employee from the practice of a health-care profession is limited to the Restricted Territory and Restricted Period stated in Cover Terms. The covenant does not restrict work where doing so would materially reduce access to free or low-cost care for a population in need.</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subject to any maximum period permitted by applicable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Any covenant tied to a business sale is read together with the Sale-of-Business Covenants section.</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whether written or oral. No prior or contemporaneous oral promise or side agreement on this subject is part of the parties' bargain or enforceable against either party.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(Alaska)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