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Title"/>
      </w:pPr>
      <w:r>
        <w:t>Commercial Terms Sample</w:t>
      </w:r>
    </w:p>
    <w:p>
      <w:pPr>
        <w:pStyle w:val="Heading1"/>
      </w:pPr>
      <w:r>
        <w:t>1. Services</w:t>
      </w:r>
    </w:p>
    <w:p>
      <w:r>
        <w:t>"Services" means the implementation and support services described in a statement of work.</w:t>
      </w:r>
    </w:p>
    <w:p>
      <w:pPr>
        <w:pStyle w:val="Heading1"/>
      </w:pPr>
      <w:r>
        <w:t>2. Fees</w:t>
      </w:r>
    </w:p>
    <w:p>
      <w:r>
        <w:t>Invoices are payable within 30 Business Days of receipt.</w:t>
      </w:r>
    </w:p>
    <w:p>
      <w:pPr>
        <w:pStyle w:val="Heading1"/>
      </w:pPr>
      <w:r>
        <w:t>3. Miscellaneous</w:t>
      </w:r>
    </w:p>
    <w:p>
      <w:r>
        <w:t>If any provision of this Agreement is held invalid or unenforceable, the remaining provisions shall remain in full force and effect.</w:t>
      </w:r>
    </w:p>
  </w:body>
</w:document>
</file>