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Title"/>
      </w:pPr>
      <w:r>
        <w:t>Broken Reference Sample</w:t>
      </w:r>
    </w:p>
    <w:p>
      <w:pPr>
        <w:pStyle w:val="Heading1"/>
      </w:pPr>
      <w:r>
        <w:t>1. Confidentiality</w:t>
      </w:r>
    </w:p>
    <w:p>
      <w:r>
        <w:t>The receiving party shall comply with Section 9.</w:t>
      </w:r>
    </w:p>
    <w:p>
      <w:pPr>
        <w:pStyle w:val="Heading1"/>
      </w:pPr>
      <w:r>
        <w:t>2. Miscellaneous</w:t>
      </w:r>
    </w:p>
    <w:p>
      <w:r>
        <w:t>If any provision of this Agreement is held invalid or unenforceable, the remaining provisions shall remain in full force and effect.</w:t>
      </w:r>
    </w:p>
  </w:body>
</w:document>
</file>