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Title"/>
      </w:pPr>
      <w:r>
        <w:t>Ambiguous Days Sample</w:t>
      </w:r>
    </w:p>
    <w:p>
      <w:pPr>
        <w:pStyle w:val="Heading1"/>
      </w:pPr>
      <w:r>
        <w:t>1. Payment</w:t>
      </w:r>
    </w:p>
    <w:p>
      <w:r>
        <w:t>The customer shall pay each undisputed invoice within 30 days of receipt.</w:t>
      </w:r>
    </w:p>
    <w:p>
      <w:pPr>
        <w:pStyle w:val="Heading1"/>
      </w:pPr>
      <w:r>
        <w:t>2. Governing Law</w:t>
      </w:r>
    </w:p>
    <w:p>
      <w:r>
        <w:t>This Agreement shall be governed by the laws of India and the courts at Bengaluru shall have jurisdiction.</w:t>
      </w:r>
    </w:p>
    <w:p>
      <w:pPr>
        <w:pStyle w:val="Heading1"/>
      </w:pPr>
      <w:r>
        <w:t>3. Miscellaneous</w:t>
      </w:r>
    </w:p>
    <w:p>
      <w:r>
        <w:t>If any provision of this Agreement is held invalid or unenforceable, the remaining provisions shall remain in full force and effect.</w:t>
      </w:r>
    </w:p>
  </w:body>
</w:document>
</file>