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Arial" w:cs="Arial" w:eastAsia="Arial" w:hAnsi="Arial"/>
          <w:b/>
          <w:bCs/>
          <w:color w:val="1A5276"/>
          <w:sz w:val="52"/>
          <w:szCs w:val="52"/>
        </w:rPr>
        <w:t xml:space="preserve">MNEME</w:t>
      </w:r>
    </w:p>
    <w:p>
      <w:pPr>
        <w:spacing w:after="40"/>
        <w:jc w:val="center"/>
      </w:pPr>
      <w:r>
        <w:rPr>
          <w:rFonts w:ascii="Arial" w:cs="Arial" w:eastAsia="Arial" w:hAnsi="Arial"/>
          <w:color w:val="5D6D7E"/>
          <w:sz w:val="32"/>
          <w:szCs w:val="32"/>
        </w:rPr>
        <w:t xml:space="preserve">Benchmark Protocol v1</w:t>
      </w:r>
    </w:p>
    <w:p>
      <w:pPr>
        <w:spacing w:after="400"/>
        <w:jc w:val="center"/>
      </w:pPr>
      <w:r>
        <w:rPr>
          <w:rFonts w:ascii="Arial" w:cs="Arial" w:eastAsia="Arial" w:hAnsi="Arial"/>
          <w:i/>
          <w:iCs/>
          <w:color w:val="7F8C8D"/>
          <w:sz w:val="22"/>
          <w:szCs w:val="22"/>
        </w:rPr>
        <w:t xml:space="preserve">Evaluation design, scoring spec, and Claude Code harness prompt</w:t>
      </w:r>
    </w:p>
    <w:p>
      <w:pPr>
        <w:pStyle w:val="Heading1"/>
        <w:spacing w:after="150" w:before="300"/>
      </w:pPr>
      <w:r>
        <w:rPr>
          <w:rFonts w:ascii="Arial" w:cs="Arial" w:eastAsia="Arial" w:hAnsi="Arial"/>
          <w:b/>
          <w:bCs/>
        </w:rPr>
        <w:t xml:space="preserve">PART 1: WHAT THE VALIDATION CONFIRMED</w:t>
      </w:r>
    </w:p>
    <w:p>
      <w:pPr>
        <w:spacing w:after="120"/>
      </w:pPr>
      <w:r>
        <w:rPr>
          <w:rFonts w:ascii="Arial" w:cs="Arial" w:eastAsia="Arial" w:hAnsi="Arial"/>
          <w:sz w:val="22"/>
          <w:szCs w:val="22"/>
        </w:rPr>
        <w:t xml:space="preserve">The architecture review confirmed three things that are now locked decisions.</w:t>
      </w:r>
    </w:p>
    <w:p>
      <w:pPr>
        <w:pStyle w:val="Heading2"/>
        <w:spacing w:after="150" w:before="300"/>
      </w:pPr>
      <w:r>
        <w:rPr>
          <w:rFonts w:ascii="Arial" w:cs="Arial" w:eastAsia="Arial" w:hAnsi="Arial"/>
          <w:b/>
          <w:bCs/>
        </w:rPr>
        <w:t xml:space="preserve">Confirmed Correct</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2800"/>
        <w:gridCol w:w="6600"/>
      </w:tblGrid>
      <w:tr>
        <w:tc>
          <w:tcPr>
            <w:tcW w:type="dxa" w:w="28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Decision</w:t>
            </w:r>
          </w:p>
        </w:tc>
        <w:tc>
          <w:tcPr>
            <w:tcW w:type="dxa" w:w="66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Why It Holds</w:t>
            </w:r>
          </w:p>
        </w:tc>
      </w:tr>
      <w:tr>
        <w:tc>
          <w:tcPr>
            <w:tcW w:type="dxa" w:w="2800"/>
            <w:tcBorders>
              <w:top w:val="single" w:color="CCCCCC" w:sz="1"/>
              <w:left w:val="single" w:color="CCCCCC" w:sz="1"/>
              <w:bottom w:val="single" w:color="CCCCCC" w:sz="1"/>
              <w:right w:val="single" w:color="CCCCCC" w:sz="1"/>
            </w:tcBorders>
            <w:shd w:fill="E8F8F5" w:val="clear"/>
            <w:tcMar>
              <w:top w:type="dxa" w:w="80"/>
              <w:left w:type="dxa" w:w="120"/>
              <w:bottom w:type="dxa" w:w="80"/>
              <w:right w:type="dxa" w:w="120"/>
            </w:tcMar>
          </w:tcPr>
          <w:p>
            <w:r>
              <w:rPr>
                <w:rFonts w:ascii="Arial" w:cs="Arial" w:eastAsia="Arial" w:hAnsi="Arial"/>
                <w:b/>
                <w:bCs/>
                <w:sz w:val="20"/>
                <w:szCs w:val="20"/>
              </w:rPr>
              <w:t xml:space="preserve">Blind human eval first</w:t>
            </w:r>
          </w:p>
        </w:tc>
        <w:tc>
          <w:tcPr>
            <w:tcW w:type="dxa" w:w="6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LLM as judge is circular for this use case. The model cannot objectively assess whether knowing more about the user helped, because it will almost always say yes. Human eval is the only credible first proof.</w:t>
            </w:r>
          </w:p>
        </w:tc>
      </w:tr>
      <w:tr>
        <w:tc>
          <w:tcPr>
            <w:tcW w:type="dxa" w:w="2800"/>
            <w:tcBorders>
              <w:top w:val="single" w:color="CCCCCC" w:sz="1"/>
              <w:left w:val="single" w:color="CCCCCC" w:sz="1"/>
              <w:bottom w:val="single" w:color="CCCCCC" w:sz="1"/>
              <w:right w:val="single" w:color="CCCCCC" w:sz="1"/>
            </w:tcBorders>
            <w:shd w:fill="E8F8F5" w:val="clear"/>
            <w:tcMar>
              <w:top w:type="dxa" w:w="80"/>
              <w:left w:type="dxa" w:w="120"/>
              <w:bottom w:type="dxa" w:w="80"/>
              <w:right w:type="dxa" w:w="120"/>
            </w:tcMar>
          </w:tcPr>
          <w:p>
            <w:r>
              <w:rPr>
                <w:rFonts w:ascii="Arial" w:cs="Arial" w:eastAsia="Arial" w:hAnsi="Arial"/>
                <w:b/>
                <w:bCs/>
                <w:sz w:val="20"/>
                <w:szCs w:val="20"/>
              </w:rPr>
              <w:t xml:space="preserve">Controlled comparison</w:t>
            </w:r>
          </w:p>
        </w:tc>
        <w:tc>
          <w:tcPr>
            <w:tcW w:type="dxa" w:w="6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Same prompt, same model, same parameters, same temperature. The only variable is the mneme profile injection. Anything else and you are measuring prompt engineering, not mneme value.</w:t>
            </w:r>
          </w:p>
        </w:tc>
      </w:tr>
      <w:tr>
        <w:tc>
          <w:tcPr>
            <w:tcW w:type="dxa" w:w="2800"/>
            <w:tcBorders>
              <w:top w:val="single" w:color="CCCCCC" w:sz="1"/>
              <w:left w:val="single" w:color="CCCCCC" w:sz="1"/>
              <w:bottom w:val="single" w:color="CCCCCC" w:sz="1"/>
              <w:right w:val="single" w:color="CCCCCC" w:sz="1"/>
            </w:tcBorders>
            <w:shd w:fill="E8F8F5" w:val="clear"/>
            <w:tcMar>
              <w:top w:type="dxa" w:w="80"/>
              <w:left w:type="dxa" w:w="120"/>
              <w:bottom w:type="dxa" w:w="80"/>
              <w:right w:type="dxa" w:w="120"/>
            </w:tcMar>
          </w:tcPr>
          <w:p>
            <w:r>
              <w:rPr>
                <w:rFonts w:ascii="Arial" w:cs="Arial" w:eastAsia="Arial" w:hAnsi="Arial"/>
                <w:b/>
                <w:bCs/>
                <w:sz w:val="20"/>
                <w:szCs w:val="20"/>
              </w:rPr>
              <w:t xml:space="preserve">More runs per user</w:t>
            </w:r>
          </w:p>
        </w:tc>
        <w:tc>
          <w:tcPr>
            <w:tcW w:type="dxa" w:w="6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You do not need 50 people. You need enough decision tasks per user to test whether the profile generalizes across different types of prompts. 10 users times 5 prompts is the right shape.</w:t>
            </w:r>
          </w:p>
        </w:tc>
      </w:tr>
    </w:tbl>
    <w:p>
      <w:pPr>
        <w:pStyle w:val="Heading2"/>
        <w:spacing w:after="150" w:before="300"/>
      </w:pPr>
      <w:r>
        <w:rPr>
          <w:rFonts w:ascii="Arial" w:cs="Arial" w:eastAsia="Arial" w:hAnsi="Arial"/>
          <w:b/>
          <w:bCs/>
        </w:rPr>
        <w:t xml:space="preserve">What Was Weak</w:t>
      </w:r>
    </w:p>
    <w:p>
      <w:pPr>
        <w:spacing w:after="120"/>
      </w:pPr>
      <w:r>
        <w:rPr>
          <w:rFonts w:ascii="Arial" w:cs="Arial" w:eastAsia="Arial" w:hAnsi="Arial"/>
          <w:sz w:val="22"/>
          <w:szCs w:val="22"/>
        </w:rPr>
        <w:t xml:space="preserve">The original setup described scoring dimensions (relevance, personalization, actionability) but left three things undefined: who scores, how scores translate to a verdict, and what threshold counts as proof. That has now been fixed.</w:t>
      </w:r>
    </w:p>
    <w:p>
      <w:r>
        <w:br w:type="page"/>
      </w:r>
    </w:p>
    <w:p>
      <w:pPr>
        <w:pStyle w:val="Heading1"/>
        <w:spacing w:after="150" w:before="300"/>
      </w:pPr>
      <w:r>
        <w:rPr>
          <w:rFonts w:ascii="Arial" w:cs="Arial" w:eastAsia="Arial" w:hAnsi="Arial"/>
          <w:b/>
          <w:bCs/>
        </w:rPr>
        <w:t xml:space="preserve">PART 2: LOCKED BENCHMARK PROTOCOL</w:t>
      </w:r>
    </w:p>
    <w:p>
      <w:pPr>
        <w:shd w:fill="EBF5FB" w:val="clear"/>
        <w:spacing w:after="120" w:before="120"/>
        <w:ind w:left="360" w:right="360"/>
      </w:pPr>
      <w:r>
        <w:rPr>
          <w:rFonts w:ascii="Arial" w:cs="Arial" w:eastAsia="Arial" w:hAnsi="Arial"/>
          <w:color w:val="1A5276"/>
          <w:sz w:val="22"/>
          <w:szCs w:val="22"/>
        </w:rPr>
        <w:t xml:space="preserve">This is the v1 evaluation spec. Do not modify it until you have completed all 50 runs.</w:t>
      </w:r>
    </w:p>
    <w:p>
      <w:pPr>
        <w:pStyle w:val="Heading2"/>
        <w:spacing w:after="150" w:before="300"/>
      </w:pPr>
      <w:r>
        <w:rPr>
          <w:rFonts w:ascii="Arial" w:cs="Arial" w:eastAsia="Arial" w:hAnsi="Arial"/>
          <w:b/>
          <w:bCs/>
        </w:rPr>
        <w:t xml:space="preserve">Dataset</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3200"/>
        <w:gridCol w:w="6200"/>
      </w:tblGrid>
      <w:tr>
        <w:tc>
          <w:tcPr>
            <w:tcW w:type="dxa" w:w="32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Parameter</w:t>
            </w:r>
          </w:p>
        </w:tc>
        <w:tc>
          <w:tcPr>
            <w:tcW w:type="dxa" w:w="62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Value</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Users</w:t>
            </w:r>
          </w:p>
        </w:tc>
        <w:tc>
          <w:tcPr>
            <w:tcW w:type="dxa" w:w="6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10</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Benchmark prompts per user</w:t>
            </w:r>
          </w:p>
        </w:tc>
        <w:tc>
          <w:tcPr>
            <w:tcW w:type="dxa" w:w="6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Total runs</w:t>
            </w:r>
          </w:p>
        </w:tc>
        <w:tc>
          <w:tcPr>
            <w:tcW w:type="dxa" w:w="6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50</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Model</w:t>
            </w:r>
          </w:p>
        </w:tc>
        <w:tc>
          <w:tcPr>
            <w:tcW w:type="dxa" w:w="6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Claude (same model and version for all runs)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Temperature</w:t>
            </w:r>
          </w:p>
        </w:tc>
        <w:tc>
          <w:tcPr>
            <w:tcW w:type="dxa" w:w="6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Fixed across all runs (recommend 0.7)</w:t>
            </w:r>
          </w:p>
        </w:tc>
      </w:tr>
    </w:tbl>
    <w:p>
      <w:pPr>
        <w:pStyle w:val="Heading2"/>
        <w:spacing w:after="150" w:before="300"/>
      </w:pPr>
      <w:r>
        <w:rPr>
          <w:rFonts w:ascii="Arial" w:cs="Arial" w:eastAsia="Arial" w:hAnsi="Arial"/>
          <w:b/>
          <w:bCs/>
        </w:rPr>
        <w:t xml:space="preserve">Comparison Rule</w:t>
      </w:r>
    </w:p>
    <w:p>
      <w:pPr>
        <w:pStyle w:val="ListParagraph"/>
        <w:numPr>
          <w:ilvl w:val="0"/>
          <w:numId w:val="2"/>
        </w:numPr>
        <w:spacing w:after="80"/>
      </w:pPr>
      <w:r>
        <w:rPr>
          <w:rFonts w:ascii="Arial" w:cs="Arial" w:eastAsia="Arial" w:hAnsi="Arial"/>
          <w:sz w:val="22"/>
          <w:szCs w:val="22"/>
        </w:rPr>
        <w:t xml:space="preserve">Same model, same benchmark prompt, same parameters for both outputs</w:t>
      </w:r>
    </w:p>
    <w:p>
      <w:pPr>
        <w:pStyle w:val="ListParagraph"/>
        <w:numPr>
          <w:ilvl w:val="0"/>
          <w:numId w:val="2"/>
        </w:numPr>
        <w:spacing w:after="80"/>
      </w:pPr>
      <w:r>
        <w:rPr>
          <w:rFonts w:ascii="Arial" w:cs="Arial" w:eastAsia="Arial" w:hAnsi="Arial"/>
          <w:sz w:val="22"/>
          <w:szCs w:val="22"/>
        </w:rPr>
        <w:t xml:space="preserve">Only difference: mneme profile injected in the system prompt for Output B</w:t>
      </w:r>
    </w:p>
    <w:p>
      <w:pPr>
        <w:pStyle w:val="ListParagraph"/>
        <w:numPr>
          <w:ilvl w:val="0"/>
          <w:numId w:val="2"/>
        </w:numPr>
        <w:spacing w:after="80"/>
      </w:pPr>
      <w:r>
        <w:rPr>
          <w:rFonts w:ascii="Arial" w:cs="Arial" w:eastAsia="Arial" w:hAnsi="Arial"/>
          <w:sz w:val="22"/>
          <w:szCs w:val="22"/>
        </w:rPr>
        <w:t xml:space="preserve">Output order randomized before scoring (sometimes default is A, sometimes B)</w:t>
      </w:r>
    </w:p>
    <w:p>
      <w:pPr>
        <w:pStyle w:val="ListParagraph"/>
        <w:numPr>
          <w:ilvl w:val="0"/>
          <w:numId w:val="2"/>
        </w:numPr>
        <w:spacing w:after="80"/>
      </w:pPr>
      <w:r>
        <w:rPr>
          <w:rFonts w:ascii="Arial" w:cs="Arial" w:eastAsia="Arial" w:hAnsi="Arial"/>
          <w:sz w:val="22"/>
          <w:szCs w:val="22"/>
        </w:rPr>
        <w:t xml:space="preserve">Scorer does not know which output is default vs mneme amplified</w:t>
      </w:r>
    </w:p>
    <w:p>
      <w:pPr>
        <w:pStyle w:val="Heading2"/>
        <w:spacing w:after="150" w:before="300"/>
      </w:pPr>
      <w:r>
        <w:rPr>
          <w:rFonts w:ascii="Arial" w:cs="Arial" w:eastAsia="Arial" w:hAnsi="Arial"/>
          <w:b/>
          <w:bCs/>
        </w:rPr>
        <w:t xml:space="preserve">Score Dimensions</w:t>
      </w:r>
    </w:p>
    <w:p>
      <w:pPr>
        <w:spacing w:after="120"/>
      </w:pPr>
      <w:r>
        <w:rPr>
          <w:rFonts w:ascii="Arial" w:cs="Arial" w:eastAsia="Arial" w:hAnsi="Arial"/>
          <w:sz w:val="22"/>
          <w:szCs w:val="22"/>
        </w:rPr>
        <w:t xml:space="preserve">Three dimensions only. Do not add more until all 50 runs are scored.</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3000"/>
        <w:gridCol w:w="1200"/>
        <w:gridCol w:w="5200"/>
      </w:tblGrid>
      <w:tr>
        <w:tc>
          <w:tcPr>
            <w:tcW w:type="dxa" w:w="30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Dimension</w:t>
            </w:r>
          </w:p>
        </w:tc>
        <w:tc>
          <w:tcPr>
            <w:tcW w:type="dxa" w:w="12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Scale</w:t>
            </w:r>
          </w:p>
        </w:tc>
        <w:tc>
          <w:tcPr>
            <w:tcW w:type="dxa" w:w="52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What It Measures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Closeness to user thinking</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 to 5</w:t>
            </w:r>
          </w:p>
        </w:tc>
        <w:tc>
          <w:tcPr>
            <w:tcW w:type="dxa" w:w="5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Does this output reflect how this specific person actually thinks and decides? A 5 means the user would say "this sounds like me." A 1 means it could have been written for anyone.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Usefulness for real action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 to 5</w:t>
            </w:r>
          </w:p>
        </w:tc>
        <w:tc>
          <w:tcPr>
            <w:tcW w:type="dxa" w:w="5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Could the user actually do something with this output? A 5 means clear next steps. A 1 means vague platitudes.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Distinctiveness from generic AI</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 to 5</w:t>
            </w:r>
          </w:p>
        </w:tc>
        <w:tc>
          <w:tcPr>
            <w:tcW w:type="dxa" w:w="5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Does this feel like a personalized response or like default ChatGPT? A 5 means clearly tailored. A 1 means interchangeable with any generic output.</w:t>
            </w:r>
          </w:p>
        </w:tc>
      </w:tr>
    </w:tbl>
    <w:p>
      <w:pPr>
        <w:pStyle w:val="Heading2"/>
        <w:spacing w:after="150" w:before="300"/>
      </w:pPr>
      <w:r>
        <w:rPr>
          <w:rFonts w:ascii="Arial" w:cs="Arial" w:eastAsia="Arial" w:hAnsi="Arial"/>
          <w:b/>
          <w:bCs/>
        </w:rPr>
        <w:t xml:space="preserve">Primary Metric</w:t>
      </w:r>
    </w:p>
    <w:p>
      <w:pPr>
        <w:shd w:fill="E8F8F5" w:val="clear"/>
        <w:spacing w:after="120" w:before="120"/>
        <w:ind w:left="360" w:right="360"/>
      </w:pPr>
      <w:r>
        <w:rPr>
          <w:rFonts w:ascii="Arial" w:cs="Arial" w:eastAsia="Arial" w:hAnsi="Arial"/>
          <w:color w:val="1A7A5C"/>
          <w:sz w:val="22"/>
          <w:szCs w:val="22"/>
        </w:rPr>
        <w:t xml:space="preserve">Mneme win rate on Closeness to User Thinking</w:t>
      </w:r>
    </w:p>
    <w:p>
      <w:pPr>
        <w:spacing w:after="120"/>
      </w:pPr>
      <w:r>
        <w:rPr>
          <w:rFonts w:ascii="Arial" w:cs="Arial" w:eastAsia="Arial" w:hAnsi="Arial"/>
          <w:b/>
          <w:bCs/>
          <w:sz w:val="22"/>
          <w:szCs w:val="22"/>
        </w:rPr>
        <w:t xml:space="preserve">Win: </w:t>
      </w:r>
      <w:r>
        <w:rPr>
          <w:rFonts w:ascii="Arial" w:cs="Arial" w:eastAsia="Arial" w:hAnsi="Arial"/>
          <w:sz w:val="22"/>
          <w:szCs w:val="22"/>
        </w:rPr>
        <w:t xml:space="preserve">Mneme output scores higher than default on Closeness to User Thinking</w:t>
      </w:r>
    </w:p>
    <w:p>
      <w:pPr>
        <w:spacing w:after="120"/>
      </w:pPr>
      <w:r>
        <w:rPr>
          <w:rFonts w:ascii="Arial" w:cs="Arial" w:eastAsia="Arial" w:hAnsi="Arial"/>
          <w:b/>
          <w:bCs/>
          <w:sz w:val="22"/>
          <w:szCs w:val="22"/>
        </w:rPr>
        <w:t xml:space="preserve">Loss: </w:t>
      </w:r>
      <w:r>
        <w:rPr>
          <w:rFonts w:ascii="Arial" w:cs="Arial" w:eastAsia="Arial" w:hAnsi="Arial"/>
          <w:sz w:val="22"/>
          <w:szCs w:val="22"/>
        </w:rPr>
        <w:t xml:space="preserve">Default output scores higher or equal</w:t>
      </w:r>
    </w:p>
    <w:p>
      <w:pPr>
        <w:spacing w:after="120"/>
      </w:pPr>
      <w:r>
        <w:rPr>
          <w:rFonts w:ascii="Arial" w:cs="Arial" w:eastAsia="Arial" w:hAnsi="Arial"/>
          <w:b/>
          <w:bCs/>
          <w:sz w:val="22"/>
          <w:szCs w:val="22"/>
        </w:rPr>
        <w:t xml:space="preserve">Success threshold: </w:t>
      </w:r>
      <w:r>
        <w:rPr>
          <w:rFonts w:ascii="Arial" w:cs="Arial" w:eastAsia="Arial" w:hAnsi="Arial"/>
          <w:sz w:val="22"/>
          <w:szCs w:val="22"/>
        </w:rPr>
        <w:t xml:space="preserve">&gt;= 60% win rate across all 50 runs AND average closeness delta of &gt;= 0.5 points</w:t>
      </w:r>
    </w:p>
    <w:p>
      <w:pPr>
        <w:spacing w:after="120"/>
      </w:pPr>
      <w:r>
        <w:rPr>
          <w:rFonts w:ascii="Arial" w:cs="Arial" w:eastAsia="Arial" w:hAnsi="Arial"/>
          <w:sz w:val="22"/>
          <w:szCs w:val="22"/>
        </w:rPr>
        <w:t xml:space="preserve">If you hit both thresholds, you have signal. If you hit one but not the other, investigate per user patterns before concluding.</w:t>
      </w:r>
    </w:p>
    <w:p>
      <w:pPr>
        <w:pStyle w:val="Heading2"/>
        <w:spacing w:after="150" w:before="300"/>
      </w:pPr>
      <w:r>
        <w:rPr>
          <w:rFonts w:ascii="Arial" w:cs="Arial" w:eastAsia="Arial" w:hAnsi="Arial"/>
          <w:b/>
          <w:bCs/>
        </w:rPr>
        <w:t xml:space="preserve">Secondary Metrics</w:t>
      </w:r>
    </w:p>
    <w:p>
      <w:pPr>
        <w:pStyle w:val="ListParagraph"/>
        <w:numPr>
          <w:ilvl w:val="0"/>
          <w:numId w:val="2"/>
        </w:numPr>
        <w:spacing w:after="80"/>
      </w:pPr>
      <w:r>
        <w:rPr>
          <w:rFonts w:ascii="Arial" w:cs="Arial" w:eastAsia="Arial" w:hAnsi="Arial"/>
          <w:sz w:val="22"/>
          <w:szCs w:val="22"/>
        </w:rPr>
        <w:t xml:space="preserve">Usefulness win rate (same win/loss logic)</w:t>
      </w:r>
    </w:p>
    <w:p>
      <w:pPr>
        <w:pStyle w:val="ListParagraph"/>
        <w:numPr>
          <w:ilvl w:val="0"/>
          <w:numId w:val="2"/>
        </w:numPr>
        <w:spacing w:after="80"/>
      </w:pPr>
      <w:r>
        <w:rPr>
          <w:rFonts w:ascii="Arial" w:cs="Arial" w:eastAsia="Arial" w:hAnsi="Arial"/>
          <w:sz w:val="22"/>
          <w:szCs w:val="22"/>
        </w:rPr>
        <w:t xml:space="preserve">Distinctiveness win rate (same win/loss logic)</w:t>
      </w:r>
    </w:p>
    <w:p>
      <w:pPr>
        <w:pStyle w:val="ListParagraph"/>
        <w:numPr>
          <w:ilvl w:val="0"/>
          <w:numId w:val="2"/>
        </w:numPr>
        <w:spacing w:after="80"/>
      </w:pPr>
      <w:r>
        <w:rPr>
          <w:rFonts w:ascii="Arial" w:cs="Arial" w:eastAsia="Arial" w:hAnsi="Arial"/>
          <w:sz w:val="22"/>
          <w:szCs w:val="22"/>
        </w:rPr>
        <w:t xml:space="preserve">Participant self eval preference (when available, after Layer 2)</w:t>
      </w:r>
    </w:p>
    <w:p>
      <w:pPr>
        <w:pStyle w:val="Heading1"/>
        <w:spacing w:after="150" w:before="300"/>
      </w:pPr>
      <w:r>
        <w:rPr>
          <w:rFonts w:ascii="Arial" w:cs="Arial" w:eastAsia="Arial" w:hAnsi="Arial"/>
          <w:b/>
          <w:bCs/>
        </w:rPr>
        <w:t xml:space="preserve">PART 3: THREE LAYER EVALUATION DESIGN</w:t>
      </w:r>
    </w:p>
    <w:p>
      <w:pPr>
        <w:spacing w:after="120"/>
      </w:pPr>
      <w:r>
        <w:rPr>
          <w:rFonts w:ascii="Arial" w:cs="Arial" w:eastAsia="Arial" w:hAnsi="Arial"/>
          <w:sz w:val="22"/>
          <w:szCs w:val="22"/>
        </w:rPr>
        <w:t xml:space="preserve">This is the full evaluation stack. Implement layers in order. Do not skip to Layer 3.</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1400"/>
        <w:gridCol w:w="2600"/>
        <w:gridCol w:w="2800"/>
        <w:gridCol w:w="2600"/>
      </w:tblGrid>
      <w:tr>
        <w:tc>
          <w:tcPr>
            <w:tcW w:type="dxa" w:w="14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26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Who Scores</w:t>
            </w:r>
          </w:p>
        </w:tc>
        <w:tc>
          <w:tcPr>
            <w:tcW w:type="dxa" w:w="28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When</w:t>
            </w:r>
          </w:p>
        </w:tc>
        <w:tc>
          <w:tcPr>
            <w:tcW w:type="dxa" w:w="26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Purpose</w:t>
            </w:r>
          </w:p>
        </w:tc>
      </w:tr>
      <w:tr>
        <w:tc>
          <w:tcPr>
            <w:tcW w:type="dxa" w:w="1400"/>
            <w:tcBorders>
              <w:top w:val="single" w:color="CCCCCC" w:sz="1"/>
              <w:left w:val="single" w:color="CCCCCC" w:sz="1"/>
              <w:bottom w:val="single" w:color="CCCCCC" w:sz="1"/>
              <w:right w:val="single" w:color="CCCCCC" w:sz="1"/>
            </w:tcBorders>
            <w:shd w:fill="E8F8F5" w:val="clear"/>
            <w:tcMar>
              <w:top w:type="dxa" w:w="80"/>
              <w:left w:type="dxa" w:w="120"/>
              <w:bottom w:type="dxa" w:w="80"/>
              <w:right w:type="dxa" w:w="120"/>
            </w:tcMar>
          </w:tcPr>
          <w:p>
            <w:r>
              <w:rPr>
                <w:rFonts w:ascii="Arial" w:cs="Arial" w:eastAsia="Arial" w:hAnsi="Arial"/>
                <w:b/>
                <w:bCs/>
                <w:sz w:val="20"/>
                <w:szCs w:val="20"/>
              </w:rPr>
              <w:t xml:space="preserve">Layer 1</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You, blind A/B scoring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First 50 runs (now)</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Fast internal testing. Prove signal exists at all.</w:t>
            </w:r>
          </w:p>
        </w:tc>
      </w:tr>
      <w:tr>
        <w:tc>
          <w:tcPr>
            <w:tcW w:type="dxa" w:w="1400"/>
            <w:tcBorders>
              <w:top w:val="single" w:color="CCCCCC" w:sz="1"/>
              <w:left w:val="single" w:color="CCCCCC" w:sz="1"/>
              <w:bottom w:val="single" w:color="CCCCCC" w:sz="1"/>
              <w:right w:val="single" w:color="CCCCCC" w:sz="1"/>
            </w:tcBorders>
            <w:shd w:fill="EBF5FB" w:val="clear"/>
            <w:tcMar>
              <w:top w:type="dxa" w:w="80"/>
              <w:left w:type="dxa" w:w="120"/>
              <w:bottom w:type="dxa" w:w="80"/>
              <w:right w:type="dxa" w:w="120"/>
            </w:tcMar>
          </w:tcPr>
          <w:p>
            <w:r>
              <w:rPr>
                <w:rFonts w:ascii="Arial" w:cs="Arial" w:eastAsia="Arial" w:hAnsi="Arial"/>
                <w:b/>
                <w:bCs/>
                <w:sz w:val="20"/>
                <w:szCs w:val="20"/>
              </w:rPr>
              <w:t xml:space="preserve">Layer 2</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Original participant, blind A/B</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After 20 to 30 runs scored by you</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Real user validation. Stronger than your judgment because they know their own thinking.</w:t>
            </w:r>
          </w:p>
        </w:tc>
      </w:tr>
      <w:tr>
        <w:tc>
          <w:tcPr>
            <w:tcW w:type="dxa" w:w="1400"/>
            <w:tcBorders>
              <w:top w:val="single" w:color="CCCCCC" w:sz="1"/>
              <w:left w:val="single" w:color="CCCCCC" w:sz="1"/>
              <w:bottom w:val="single" w:color="CCCCCC" w:sz="1"/>
              <w:right w:val="single" w:color="CCCCCC" w:sz="1"/>
            </w:tcBorders>
            <w:shd w:fill="F9F9F9" w:val="clear"/>
            <w:tcMar>
              <w:top w:type="dxa" w:w="80"/>
              <w:left w:type="dxa" w:w="120"/>
              <w:bottom w:type="dxa" w:w="80"/>
              <w:right w:type="dxa" w:w="120"/>
            </w:tcMar>
          </w:tcPr>
          <w:p>
            <w:r>
              <w:rPr>
                <w:rFonts w:ascii="Arial" w:cs="Arial" w:eastAsia="Arial" w:hAnsi="Arial"/>
                <w:b/>
                <w:bCs/>
                <w:sz w:val="20"/>
                <w:szCs w:val="20"/>
              </w:rPr>
              <w:t xml:space="preserve">Layer 3</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LLM as judge (automated)</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Only after Layers 1 and 2 confirm signal</w:t>
            </w:r>
          </w:p>
        </w:tc>
        <w:tc>
          <w:tcPr>
            <w:tcW w:type="dxa" w:w="2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Scale scoring for larger datasets. Screening layer, not proof.</w:t>
            </w:r>
          </w:p>
        </w:tc>
      </w:tr>
    </w:tbl>
    <w:p>
      <w:pPr>
        <w:spacing w:before="160"/>
      </w:pPr>
    </w:p>
    <w:p>
      <w:pPr>
        <w:pStyle w:val="Heading3"/>
        <w:spacing w:after="150" w:before="300"/>
      </w:pPr>
      <w:r>
        <w:rPr>
          <w:rFonts w:ascii="Arial" w:cs="Arial" w:eastAsia="Arial" w:hAnsi="Arial"/>
          <w:b/>
          <w:bCs/>
        </w:rPr>
        <w:t xml:space="preserve">Layer 2 Key Question</w:t>
      </w:r>
    </w:p>
    <w:p>
      <w:pPr>
        <w:shd w:fill="EBF5FB" w:val="clear"/>
        <w:spacing w:after="120" w:before="120"/>
        <w:ind w:left="360" w:right="360"/>
      </w:pPr>
      <w:r>
        <w:rPr>
          <w:rFonts w:ascii="Arial" w:cs="Arial" w:eastAsia="Arial" w:hAnsi="Arial"/>
          <w:color w:val="1A5276"/>
          <w:sz w:val="22"/>
          <w:szCs w:val="22"/>
        </w:rPr>
        <w:t xml:space="preserve">Ask the participant: "Which response is more like how you would actually think or decide?"</w:t>
      </w:r>
    </w:p>
    <w:p>
      <w:pPr>
        <w:spacing w:after="120"/>
      </w:pPr>
      <w:r>
        <w:rPr>
          <w:rFonts w:ascii="Arial" w:cs="Arial" w:eastAsia="Arial" w:hAnsi="Arial"/>
          <w:sz w:val="22"/>
          <w:szCs w:val="22"/>
        </w:rPr>
        <w:t xml:space="preserve">This single question is more valuable than all three scoring dimensions combined, because it directly measures whether the mneme profile captured something real. Add it as soon as you have participants willing to score.</w:t>
      </w:r>
    </w:p>
    <w:p>
      <w:r>
        <w:br w:type="page"/>
      </w:r>
    </w:p>
    <w:p>
      <w:pPr>
        <w:pStyle w:val="Heading1"/>
        <w:spacing w:after="150" w:before="300"/>
      </w:pPr>
      <w:r>
        <w:rPr>
          <w:rFonts w:ascii="Arial" w:cs="Arial" w:eastAsia="Arial" w:hAnsi="Arial"/>
          <w:b/>
          <w:bCs/>
        </w:rPr>
        <w:t xml:space="preserve">PART 4: WHAT THIS MEANS FOR PRODUCT RISK</w:t>
      </w:r>
    </w:p>
    <w:p>
      <w:pPr>
        <w:spacing w:after="120"/>
      </w:pPr>
      <w:r>
        <w:rPr>
          <w:rFonts w:ascii="Arial" w:cs="Arial" w:eastAsia="Arial" w:hAnsi="Arial"/>
          <w:sz w:val="22"/>
          <w:szCs w:val="22"/>
        </w:rPr>
        <w:t xml:space="preserve">The benchmark protocol is now defined well enough that you cannot accidentally fool yourself. Specifically:</w:t>
      </w:r>
    </w:p>
    <w:tbl>
      <w:tblPr>
        <w:tblW w:type="dxa" w:w="9400"/>
        <w:tblBorders>
          <w:top w:val="single" w:color="auto" w:sz="4"/>
          <w:left w:val="single" w:color="auto" w:sz="4"/>
          <w:bottom w:val="single" w:color="auto" w:sz="4"/>
          <w:right w:val="single" w:color="auto" w:sz="4"/>
          <w:insideH w:val="single" w:color="auto" w:sz="4"/>
          <w:insideV w:val="single" w:color="auto" w:sz="4"/>
        </w:tblBorders>
      </w:tblPr>
      <w:tblGrid>
        <w:gridCol w:w="3000"/>
        <w:gridCol w:w="6400"/>
      </w:tblGrid>
      <w:tr>
        <w:tc>
          <w:tcPr>
            <w:tcW w:type="dxa" w:w="30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Risk</w:t>
            </w:r>
          </w:p>
        </w:tc>
        <w:tc>
          <w:tcPr>
            <w:tcW w:type="dxa" w:w="64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How the Protocol Handles It</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Confirmation bias</w:t>
            </w:r>
          </w:p>
        </w:tc>
        <w:tc>
          <w:tcPr>
            <w:tcW w:type="dxa" w:w="6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Blind A/B scoring. You do not know which is mneme until after scoring.</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Cherry picking results</w:t>
            </w:r>
          </w:p>
        </w:tc>
        <w:tc>
          <w:tcPr>
            <w:tcW w:type="dxa" w:w="6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Success threshold defined before running tests. 60% win rate and 0.5 delta, not "it feels better."</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Prompt contamination</w:t>
            </w:r>
          </w:p>
        </w:tc>
        <w:tc>
          <w:tcPr>
            <w:tcW w:type="dxa" w:w="6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Controlled comparison ensures only the mneme profile differs. All other variables locked.</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Small sample noise</w:t>
            </w:r>
          </w:p>
        </w:tc>
        <w:tc>
          <w:tcPr>
            <w:tcW w:type="dxa" w:w="6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50 runs across 10 users. Not perfect but enough to distinguish signal from noise. Per user analysis catches outliers.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sz w:val="20"/>
                <w:szCs w:val="20"/>
              </w:rPr>
              <w:t xml:space="preserve">Scoring subjectivity</w:t>
            </w:r>
          </w:p>
        </w:tc>
        <w:tc>
          <w:tcPr>
            <w:tcW w:type="dxa" w:w="6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Layer 2 (participant scoring) validates your Layer 1 scores. If they diverge, your scoring is the problem, not the product.</w:t>
            </w:r>
          </w:p>
        </w:tc>
      </w:tr>
    </w:tbl>
    <w:p>
      <w:pPr>
        <w:spacing w:before="200"/>
      </w:pPr>
    </w:p>
    <w:p>
      <w:pPr>
        <w:spacing w:after="120"/>
      </w:pPr>
      <w:r>
        <w:rPr>
          <w:rFonts w:ascii="Arial" w:cs="Arial" w:eastAsia="Arial" w:hAnsi="Arial"/>
          <w:sz w:val="22"/>
          <w:szCs w:val="22"/>
        </w:rPr>
        <w:t xml:space="preserve">You do not need a scientifically perfect benchmark now. You need a benchmark that is controlled, repeatable, predefined, and hard enough to not fool yourself. This design meets all four criteria.</w:t>
      </w:r>
    </w:p>
    <w:p>
      <w:r>
        <w:br w:type="page"/>
      </w:r>
    </w:p>
    <w:p>
      <w:pPr>
        <w:pStyle w:val="Heading1"/>
        <w:spacing w:after="150" w:before="300"/>
      </w:pPr>
      <w:r>
        <w:rPr>
          <w:rFonts w:ascii="Arial" w:cs="Arial" w:eastAsia="Arial" w:hAnsi="Arial"/>
          <w:b/>
          <w:bCs/>
        </w:rPr>
        <w:t xml:space="preserve">PART 5: CLAUDE CODE HARNESS PROMPT</w:t>
      </w:r>
    </w:p>
    <w:p>
      <w:pPr>
        <w:spacing w:after="120"/>
      </w:pPr>
      <w:r>
        <w:rPr>
          <w:rFonts w:ascii="Arial" w:cs="Arial" w:eastAsia="Arial" w:hAnsi="Arial"/>
          <w:sz w:val="22"/>
          <w:szCs w:val="22"/>
        </w:rPr>
        <w:t xml:space="preserve">Copy everything below into Claude Code. This prompt instructs it to build the benchmark harness around the exact protocol defined above.</w:t>
      </w:r>
    </w:p>
    <w:p>
      <w:pPr>
        <w:pBdr>
          <w:top w:val="single" w:color="1A5276" w:sz="6" w:space="8"/>
        </w:pBdr>
        <w:spacing w:before="200"/>
      </w:pPr>
    </w:p>
    <w:p>
      <w:pPr>
        <w:shd w:fill="F4F6F7" w:val="clear"/>
        <w:spacing w:after="20"/>
        <w:ind w:left="360"/>
      </w:pPr>
      <w:r>
        <w:rPr>
          <w:rFonts w:ascii="Courier New" w:cs="Courier New" w:eastAsia="Courier New" w:hAnsi="Courier New"/>
          <w:sz w:val="19"/>
          <w:szCs w:val="19"/>
        </w:rPr>
        <w:t xml:space="preserve">I want to harden the Mneme benchmark design.</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Build the benchmark harness around this exact evaluation protocol:</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DATASET</w:t>
      </w:r>
    </w:p>
    <w:p>
      <w:pPr>
        <w:shd w:fill="F4F6F7" w:val="clear"/>
        <w:spacing w:after="20"/>
        <w:ind w:left="360"/>
      </w:pPr>
      <w:r>
        <w:rPr>
          <w:rFonts w:ascii="Courier New" w:cs="Courier New" w:eastAsia="Courier New" w:hAnsi="Courier New"/>
          <w:sz w:val="19"/>
          <w:szCs w:val="19"/>
        </w:rPr>
        <w:t xml:space="preserve">  10 users</w:t>
      </w:r>
    </w:p>
    <w:p>
      <w:pPr>
        <w:shd w:fill="F4F6F7" w:val="clear"/>
        <w:spacing w:after="20"/>
        <w:ind w:left="360"/>
      </w:pPr>
      <w:r>
        <w:rPr>
          <w:rFonts w:ascii="Courier New" w:cs="Courier New" w:eastAsia="Courier New" w:hAnsi="Courier New"/>
          <w:sz w:val="19"/>
          <w:szCs w:val="19"/>
        </w:rPr>
        <w:t xml:space="preserve">  5 benchmark prompts per user</w:t>
      </w:r>
    </w:p>
    <w:p>
      <w:pPr>
        <w:shd w:fill="F4F6F7" w:val="clear"/>
        <w:spacing w:after="20"/>
        <w:ind w:left="360"/>
      </w:pPr>
      <w:r>
        <w:rPr>
          <w:rFonts w:ascii="Courier New" w:cs="Courier New" w:eastAsia="Courier New" w:hAnsi="Courier New"/>
          <w:sz w:val="19"/>
          <w:szCs w:val="19"/>
        </w:rPr>
        <w:t xml:space="preserve">  50 total benchmark runs</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COMPARISON RULE</w:t>
      </w:r>
    </w:p>
    <w:p>
      <w:pPr>
        <w:shd w:fill="F4F6F7" w:val="clear"/>
        <w:spacing w:after="20"/>
        <w:ind w:left="360"/>
      </w:pPr>
      <w:r>
        <w:rPr>
          <w:rFonts w:ascii="Courier New" w:cs="Courier New" w:eastAsia="Courier New" w:hAnsi="Courier New"/>
          <w:sz w:val="19"/>
          <w:szCs w:val="19"/>
        </w:rPr>
        <w:t xml:space="preserve">  Same model</w:t>
      </w:r>
    </w:p>
    <w:p>
      <w:pPr>
        <w:shd w:fill="F4F6F7" w:val="clear"/>
        <w:spacing w:after="20"/>
        <w:ind w:left="360"/>
      </w:pPr>
      <w:r>
        <w:rPr>
          <w:rFonts w:ascii="Courier New" w:cs="Courier New" w:eastAsia="Courier New" w:hAnsi="Courier New"/>
          <w:sz w:val="19"/>
          <w:szCs w:val="19"/>
        </w:rPr>
        <w:t xml:space="preserve">  Same benchmark prompt</w:t>
      </w:r>
    </w:p>
    <w:p>
      <w:pPr>
        <w:shd w:fill="F4F6F7" w:val="clear"/>
        <w:spacing w:after="20"/>
        <w:ind w:left="360"/>
      </w:pPr>
      <w:r>
        <w:rPr>
          <w:rFonts w:ascii="Courier New" w:cs="Courier New" w:eastAsia="Courier New" w:hAnsi="Courier New"/>
          <w:sz w:val="19"/>
          <w:szCs w:val="19"/>
        </w:rPr>
        <w:t xml:space="preserve">  Same parameters</w:t>
      </w:r>
    </w:p>
    <w:p>
      <w:pPr>
        <w:shd w:fill="F4F6F7" w:val="clear"/>
        <w:spacing w:after="20"/>
        <w:ind w:left="360"/>
      </w:pPr>
      <w:r>
        <w:rPr>
          <w:rFonts w:ascii="Courier New" w:cs="Courier New" w:eastAsia="Courier New" w:hAnsi="Courier New"/>
          <w:sz w:val="19"/>
          <w:szCs w:val="19"/>
        </w:rPr>
        <w:t xml:space="preserve">  Only difference is mneme profile injection</w:t>
      </w:r>
    </w:p>
    <w:p>
      <w:pPr>
        <w:shd w:fill="F4F6F7" w:val="clear"/>
        <w:spacing w:after="20"/>
        <w:ind w:left="360"/>
      </w:pPr>
      <w:r>
        <w:rPr>
          <w:rFonts w:ascii="Courier New" w:cs="Courier New" w:eastAsia="Courier New" w:hAnsi="Courier New"/>
          <w:sz w:val="19"/>
          <w:szCs w:val="19"/>
        </w:rPr>
        <w:t xml:space="preserve">  Randomize output order as A/B before scoring</w:t>
      </w:r>
    </w:p>
    <w:p>
      <w:pPr>
        <w:shd w:fill="F4F6F7" w:val="clear"/>
        <w:spacing w:after="20"/>
        <w:ind w:left="360"/>
      </w:pPr>
      <w:r>
        <w:rPr>
          <w:rFonts w:ascii="Courier New" w:cs="Courier New" w:eastAsia="Courier New" w:hAnsi="Courier New"/>
          <w:sz w:val="19"/>
          <w:szCs w:val="19"/>
        </w:rPr>
        <w:t xml:space="preserve">  Scorer must not know which is default vs mneme</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SCORE DIMENSIONS</w:t>
      </w:r>
    </w:p>
    <w:p>
      <w:pPr>
        <w:shd w:fill="F4F6F7" w:val="clear"/>
        <w:spacing w:after="20"/>
        <w:ind w:left="360"/>
      </w:pPr>
      <w:r>
        <w:rPr>
          <w:rFonts w:ascii="Courier New" w:cs="Courier New" w:eastAsia="Courier New" w:hAnsi="Courier New"/>
          <w:sz w:val="19"/>
          <w:szCs w:val="19"/>
        </w:rPr>
        <w:t xml:space="preserve">  Closeness to user thinking (1 to 5)</w:t>
      </w:r>
    </w:p>
    <w:p>
      <w:pPr>
        <w:shd w:fill="F4F6F7" w:val="clear"/>
        <w:spacing w:after="20"/>
        <w:ind w:left="360"/>
      </w:pPr>
      <w:r>
        <w:rPr>
          <w:rFonts w:ascii="Courier New" w:cs="Courier New" w:eastAsia="Courier New" w:hAnsi="Courier New"/>
          <w:sz w:val="19"/>
          <w:szCs w:val="19"/>
        </w:rPr>
        <w:t xml:space="preserve">  Usefulness for real action (1 to 5)</w:t>
      </w:r>
    </w:p>
    <w:p>
      <w:pPr>
        <w:shd w:fill="F4F6F7" w:val="clear"/>
        <w:spacing w:after="20"/>
        <w:ind w:left="360"/>
      </w:pPr>
      <w:r>
        <w:rPr>
          <w:rFonts w:ascii="Courier New" w:cs="Courier New" w:eastAsia="Courier New" w:hAnsi="Courier New"/>
          <w:sz w:val="19"/>
          <w:szCs w:val="19"/>
        </w:rPr>
        <w:t xml:space="preserve">  Distinctiveness from generic AI (1 to 5)</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PRIMARY METRIC</w:t>
      </w:r>
    </w:p>
    <w:p>
      <w:pPr>
        <w:shd w:fill="F4F6F7" w:val="clear"/>
        <w:spacing w:after="20"/>
        <w:ind w:left="360"/>
      </w:pPr>
      <w:r>
        <w:rPr>
          <w:rFonts w:ascii="Courier New" w:cs="Courier New" w:eastAsia="Courier New" w:hAnsi="Courier New"/>
          <w:sz w:val="19"/>
          <w:szCs w:val="19"/>
        </w:rPr>
        <w:t xml:space="preserve">  Mneme win rate on Closeness to user thinking</w:t>
      </w:r>
    </w:p>
    <w:p>
      <w:pPr>
        <w:shd w:fill="F4F6F7" w:val="clear"/>
        <w:spacing w:after="20"/>
        <w:ind w:left="360"/>
      </w:pPr>
      <w:r>
        <w:rPr>
          <w:rFonts w:ascii="Courier New" w:cs="Courier New" w:eastAsia="Courier New" w:hAnsi="Courier New"/>
          <w:sz w:val="19"/>
          <w:szCs w:val="19"/>
        </w:rPr>
        <w:t xml:space="preserve">  Success threshold: &gt;= 60% win rate and &gt;= 0.5 average delta</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SECONDARY METRICS</w:t>
      </w:r>
    </w:p>
    <w:p>
      <w:pPr>
        <w:shd w:fill="F4F6F7" w:val="clear"/>
        <w:spacing w:after="20"/>
        <w:ind w:left="360"/>
      </w:pPr>
      <w:r>
        <w:rPr>
          <w:rFonts w:ascii="Courier New" w:cs="Courier New" w:eastAsia="Courier New" w:hAnsi="Courier New"/>
          <w:sz w:val="19"/>
          <w:szCs w:val="19"/>
        </w:rPr>
        <w:t xml:space="preserve">  Usefulness win rate</w:t>
      </w:r>
    </w:p>
    <w:p>
      <w:pPr>
        <w:shd w:fill="F4F6F7" w:val="clear"/>
        <w:spacing w:after="20"/>
        <w:ind w:left="360"/>
      </w:pPr>
      <w:r>
        <w:rPr>
          <w:rFonts w:ascii="Courier New" w:cs="Courier New" w:eastAsia="Courier New" w:hAnsi="Courier New"/>
          <w:sz w:val="19"/>
          <w:szCs w:val="19"/>
        </w:rPr>
        <w:t xml:space="preserve">  Distinctiveness win rate</w:t>
      </w:r>
    </w:p>
    <w:p>
      <w:pPr>
        <w:shd w:fill="F4F6F7" w:val="clear"/>
        <w:spacing w:after="20"/>
        <w:ind w:left="360"/>
      </w:pPr>
      <w:r>
        <w:rPr>
          <w:rFonts w:ascii="Courier New" w:cs="Courier New" w:eastAsia="Courier New" w:hAnsi="Courier New"/>
          <w:sz w:val="19"/>
          <w:szCs w:val="19"/>
        </w:rPr>
        <w:t xml:space="preserve">  Participant preference when available</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TASK</w:t>
      </w:r>
    </w:p>
    <w:p>
      <w:pPr>
        <w:shd w:fill="F4F6F7" w:val="clear"/>
        <w:spacing w:after="20"/>
        <w:ind w:left="360"/>
      </w:pPr>
      <w:r>
        <w:rPr>
          <w:rFonts w:ascii="Courier New" w:cs="Courier New" w:eastAsia="Courier New" w:hAnsi="Courier New"/>
          <w:sz w:val="19"/>
          <w:szCs w:val="19"/>
        </w:rPr>
        <w:t xml:space="preserve">1. Critique this protocol</w:t>
      </w:r>
    </w:p>
    <w:p>
      <w:pPr>
        <w:shd w:fill="F4F6F7" w:val="clear"/>
        <w:spacing w:after="20"/>
        <w:ind w:left="360"/>
      </w:pPr>
      <w:r>
        <w:rPr>
          <w:rFonts w:ascii="Courier New" w:cs="Courier New" w:eastAsia="Courier New" w:hAnsi="Courier New"/>
          <w:sz w:val="19"/>
          <w:szCs w:val="19"/>
        </w:rPr>
        <w:t xml:space="preserve">2. Improve it only if necessary</w:t>
      </w:r>
    </w:p>
    <w:p>
      <w:pPr>
        <w:shd w:fill="F4F6F7" w:val="clear"/>
        <w:spacing w:after="20"/>
        <w:ind w:left="360"/>
      </w:pPr>
      <w:r>
        <w:rPr>
          <w:rFonts w:ascii="Courier New" w:cs="Courier New" w:eastAsia="Courier New" w:hAnsi="Courier New"/>
          <w:sz w:val="19"/>
          <w:szCs w:val="19"/>
        </w:rPr>
        <w:t xml:space="preserve">3. Design the SQLite schema</w:t>
      </w:r>
    </w:p>
    <w:p>
      <w:pPr>
        <w:shd w:fill="F4F6F7" w:val="clear"/>
        <w:spacing w:after="20"/>
        <w:ind w:left="360"/>
      </w:pPr>
      <w:r>
        <w:rPr>
          <w:rFonts w:ascii="Courier New" w:cs="Courier New" w:eastAsia="Courier New" w:hAnsi="Courier New"/>
          <w:sz w:val="19"/>
          <w:szCs w:val="19"/>
        </w:rPr>
        <w:t xml:space="preserve">4. Design the benchmark runner flow</w:t>
      </w:r>
    </w:p>
    <w:p>
      <w:pPr>
        <w:shd w:fill="F4F6F7" w:val="clear"/>
        <w:spacing w:after="20"/>
        <w:ind w:left="360"/>
      </w:pPr>
      <w:r>
        <w:rPr>
          <w:rFonts w:ascii="Courier New" w:cs="Courier New" w:eastAsia="Courier New" w:hAnsi="Courier New"/>
          <w:sz w:val="19"/>
          <w:szCs w:val="19"/>
        </w:rPr>
        <w:t xml:space="preserve">5. Design the blind scoring flow</w:t>
      </w:r>
    </w:p>
    <w:p>
      <w:pPr>
        <w:shd w:fill="F4F6F7" w:val="clear"/>
        <w:spacing w:after="20"/>
        <w:ind w:left="360"/>
      </w:pPr>
      <w:r>
        <w:rPr>
          <w:rFonts w:ascii="Courier New" w:cs="Courier New" w:eastAsia="Courier New" w:hAnsi="Courier New"/>
          <w:sz w:val="19"/>
          <w:szCs w:val="19"/>
        </w:rPr>
        <w:t xml:space="preserve">6. Design the summary metrics/report</w:t>
      </w:r>
    </w:p>
    <w:p>
      <w:pPr>
        <w:shd w:fill="F4F6F7" w:val="clear"/>
        <w:spacing w:after="20"/>
        <w:ind w:left="360"/>
      </w:pPr>
      <w:r>
        <w:rPr>
          <w:rFonts w:ascii="Courier New" w:cs="Courier New" w:eastAsia="Courier New" w:hAnsi="Courier New"/>
          <w:sz w:val="19"/>
          <w:szCs w:val="19"/>
        </w:rPr>
        <w:t xml:space="preserve">7. Return the minimum implementation plan needed to ship this</w:t>
      </w:r>
    </w:p>
    <w:p>
      <w:pPr>
        <w:shd w:fill="F4F6F7" w:val="clear"/>
        <w:spacing w:after="20"/>
        <w:ind w:left="360"/>
      </w:pPr>
      <w:r>
        <w:rPr>
          <w:rFonts w:ascii="Courier New" w:cs="Courier New" w:eastAsia="Courier New" w:hAnsi="Courier New"/>
          <w:sz w:val="19"/>
          <w:szCs w:val="19"/>
        </w:rPr>
        <w:t xml:space="preserve">   in the MVP</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Return ONLY:</w:t>
      </w:r>
    </w:p>
    <w:p>
      <w:pPr>
        <w:shd w:fill="F4F6F7" w:val="clear"/>
        <w:spacing w:after="20"/>
        <w:ind w:left="360"/>
      </w:pPr>
      <w:r>
        <w:rPr>
          <w:rFonts w:ascii="Courier New" w:cs="Courier New" w:eastAsia="Courier New" w:hAnsi="Courier New"/>
          <w:sz w:val="19"/>
          <w:szCs w:val="19"/>
        </w:rPr>
        <w:t xml:space="preserve"/>
      </w:r>
    </w:p>
    <w:p>
      <w:pPr>
        <w:shd w:fill="F4F6F7" w:val="clear"/>
        <w:spacing w:after="20"/>
        <w:ind w:left="360"/>
      </w:pPr>
      <w:r>
        <w:rPr>
          <w:rFonts w:ascii="Courier New" w:cs="Courier New" w:eastAsia="Courier New" w:hAnsi="Courier New"/>
          <w:sz w:val="19"/>
          <w:szCs w:val="19"/>
        </w:rPr>
        <w:t xml:space="preserve">SUMMARY</w:t>
      </w:r>
    </w:p>
    <w:p>
      <w:pPr>
        <w:shd w:fill="F4F6F7" w:val="clear"/>
        <w:spacing w:after="20"/>
        <w:ind w:left="360"/>
      </w:pPr>
      <w:r>
        <w:rPr>
          <w:rFonts w:ascii="Courier New" w:cs="Courier New" w:eastAsia="Courier New" w:hAnsi="Courier New"/>
          <w:sz w:val="19"/>
          <w:szCs w:val="19"/>
        </w:rPr>
        <w:t xml:space="preserve">PROTOCOL RISKS</w:t>
      </w:r>
    </w:p>
    <w:p>
      <w:pPr>
        <w:shd w:fill="F4F6F7" w:val="clear"/>
        <w:spacing w:after="20"/>
        <w:ind w:left="360"/>
      </w:pPr>
      <w:r>
        <w:rPr>
          <w:rFonts w:ascii="Courier New" w:cs="Courier New" w:eastAsia="Courier New" w:hAnsi="Courier New"/>
          <w:sz w:val="19"/>
          <w:szCs w:val="19"/>
        </w:rPr>
        <w:t xml:space="preserve">FINAL BENCHMARK SPEC</w:t>
      </w:r>
    </w:p>
    <w:p>
      <w:pPr>
        <w:shd w:fill="F4F6F7" w:val="clear"/>
        <w:spacing w:after="20"/>
        <w:ind w:left="360"/>
      </w:pPr>
      <w:r>
        <w:rPr>
          <w:rFonts w:ascii="Courier New" w:cs="Courier New" w:eastAsia="Courier New" w:hAnsi="Courier New"/>
          <w:sz w:val="19"/>
          <w:szCs w:val="19"/>
        </w:rPr>
        <w:t xml:space="preserve">SQLITE SCHEMA</w:t>
      </w:r>
    </w:p>
    <w:p>
      <w:pPr>
        <w:shd w:fill="F4F6F7" w:val="clear"/>
        <w:spacing w:after="20"/>
        <w:ind w:left="360"/>
      </w:pPr>
      <w:r>
        <w:rPr>
          <w:rFonts w:ascii="Courier New" w:cs="Courier New" w:eastAsia="Courier New" w:hAnsi="Courier New"/>
          <w:sz w:val="19"/>
          <w:szCs w:val="19"/>
        </w:rPr>
        <w:t xml:space="preserve">RUNNER FLOW</w:t>
      </w:r>
    </w:p>
    <w:p>
      <w:pPr>
        <w:shd w:fill="F4F6F7" w:val="clear"/>
        <w:spacing w:after="20"/>
        <w:ind w:left="360"/>
      </w:pPr>
      <w:r>
        <w:rPr>
          <w:rFonts w:ascii="Courier New" w:cs="Courier New" w:eastAsia="Courier New" w:hAnsi="Courier New"/>
          <w:sz w:val="19"/>
          <w:szCs w:val="19"/>
        </w:rPr>
        <w:t xml:space="preserve">SCORING FLOW</w:t>
      </w:r>
    </w:p>
    <w:p>
      <w:pPr>
        <w:shd w:fill="F4F6F7" w:val="clear"/>
        <w:spacing w:after="20"/>
        <w:ind w:left="360"/>
      </w:pPr>
      <w:r>
        <w:rPr>
          <w:rFonts w:ascii="Courier New" w:cs="Courier New" w:eastAsia="Courier New" w:hAnsi="Courier New"/>
          <w:sz w:val="19"/>
          <w:szCs w:val="19"/>
        </w:rPr>
        <w:t xml:space="preserve">REPORTING METRICS</w:t>
      </w:r>
    </w:p>
    <w:p>
      <w:pPr>
        <w:shd w:fill="F4F6F7" w:val="clear"/>
        <w:spacing w:after="20"/>
        <w:ind w:left="360"/>
      </w:pPr>
      <w:r>
        <w:rPr>
          <w:rFonts w:ascii="Courier New" w:cs="Courier New" w:eastAsia="Courier New" w:hAnsi="Courier New"/>
          <w:sz w:val="19"/>
          <w:szCs w:val="19"/>
        </w:rPr>
        <w:t xml:space="preserve">IMPLEMENTATION PLAN</w:t>
      </w:r>
    </w:p>
    <w:p>
      <w:pPr>
        <w:pBdr>
          <w:bottom w:val="single" w:color="1A5276" w:sz="6" w:space="8"/>
        </w:pBdr>
        <w:spacing w:before="200"/>
      </w:pPr>
    </w:p>
    <w:p>
      <w:pPr>
        <w:pStyle w:val="Heading1"/>
        <w:spacing w:after="150" w:before="300"/>
      </w:pPr>
      <w:r>
        <w:rPr>
          <w:rFonts w:ascii="Arial" w:cs="Arial" w:eastAsia="Arial" w:hAnsi="Arial"/>
          <w:b/>
          <w:bCs/>
        </w:rPr>
        <w:t xml:space="preserve">PART 6: NEXT ACTIONS</w:t>
      </w:r>
    </w:p>
    <w:p>
      <w:pPr>
        <w:pStyle w:val="ListParagraph"/>
        <w:numPr>
          <w:ilvl w:val="0"/>
          <w:numId w:val="3"/>
        </w:numPr>
        <w:spacing w:after="80"/>
      </w:pPr>
      <w:r>
        <w:rPr>
          <w:rFonts w:ascii="Arial" w:cs="Arial" w:eastAsia="Arial" w:hAnsi="Arial"/>
          <w:sz w:val="22"/>
          <w:szCs w:val="22"/>
        </w:rPr>
        <w:t xml:space="preserve">Run the Claude Code prompt from Part 5</w:t>
      </w:r>
    </w:p>
    <w:p>
      <w:pPr>
        <w:pStyle w:val="ListParagraph"/>
        <w:numPr>
          <w:ilvl w:val="0"/>
          <w:numId w:val="3"/>
        </w:numPr>
        <w:spacing w:after="80"/>
      </w:pPr>
      <w:r>
        <w:rPr>
          <w:rFonts w:ascii="Arial" w:cs="Arial" w:eastAsia="Arial" w:hAnsi="Arial"/>
          <w:sz w:val="22"/>
          <w:szCs w:val="22"/>
        </w:rPr>
        <w:t xml:space="preserve">Paste the response back for pressure testing</w:t>
      </w:r>
    </w:p>
    <w:p>
      <w:pPr>
        <w:pStyle w:val="ListParagraph"/>
        <w:numPr>
          <w:ilvl w:val="0"/>
          <w:numId w:val="3"/>
        </w:numPr>
        <w:spacing w:after="80"/>
      </w:pPr>
      <w:r>
        <w:rPr>
          <w:rFonts w:ascii="Arial" w:cs="Arial" w:eastAsia="Arial" w:hAnsi="Arial"/>
          <w:sz w:val="22"/>
          <w:szCs w:val="22"/>
        </w:rPr>
        <w:t xml:space="preserve">Lock the SQLite schema and build the runner</w:t>
      </w:r>
    </w:p>
    <w:p>
      <w:pPr>
        <w:pStyle w:val="ListParagraph"/>
        <w:numPr>
          <w:ilvl w:val="0"/>
          <w:numId w:val="3"/>
        </w:numPr>
        <w:spacing w:after="80"/>
      </w:pPr>
      <w:r>
        <w:rPr>
          <w:rFonts w:ascii="Arial" w:cs="Arial" w:eastAsia="Arial" w:hAnsi="Arial"/>
          <w:sz w:val="22"/>
          <w:szCs w:val="22"/>
        </w:rPr>
        <w:t xml:space="preserve">Collect first 10 users (use the Reddit posts)</w:t>
      </w:r>
    </w:p>
    <w:p>
      <w:pPr>
        <w:pStyle w:val="ListParagraph"/>
        <w:numPr>
          <w:ilvl w:val="0"/>
          <w:numId w:val="3"/>
        </w:numPr>
        <w:spacing w:after="80"/>
      </w:pPr>
      <w:r>
        <w:rPr>
          <w:rFonts w:ascii="Arial" w:cs="Arial" w:eastAsia="Arial" w:hAnsi="Arial"/>
          <w:sz w:val="22"/>
          <w:szCs w:val="22"/>
        </w:rPr>
        <w:t xml:space="preserve">Run all 50 benchmarks and score blind</w:t>
      </w:r>
    </w:p>
    <w:p>
      <w:pPr>
        <w:pStyle w:val="ListParagraph"/>
        <w:numPr>
          <w:ilvl w:val="0"/>
          <w:numId w:val="3"/>
        </w:numPr>
        <w:spacing w:after="80"/>
      </w:pPr>
      <w:r>
        <w:rPr>
          <w:rFonts w:ascii="Arial" w:cs="Arial" w:eastAsia="Arial" w:hAnsi="Arial"/>
          <w:sz w:val="22"/>
          <w:szCs w:val="22"/>
        </w:rPr>
        <w:t xml:space="preserve">Calculate win rate and delta</w:t>
      </w:r>
    </w:p>
    <w:p>
      <w:pPr>
        <w:pStyle w:val="ListParagraph"/>
        <w:numPr>
          <w:ilvl w:val="0"/>
          <w:numId w:val="3"/>
        </w:numPr>
        <w:spacing w:after="80"/>
      </w:pPr>
      <w:r>
        <w:rPr>
          <w:rFonts w:ascii="Arial" w:cs="Arial" w:eastAsia="Arial" w:hAnsi="Arial"/>
          <w:sz w:val="22"/>
          <w:szCs w:val="22"/>
        </w:rPr>
        <w:t xml:space="preserve">If signal exists: add Layer 2 (participant scoring)</w:t>
      </w:r>
    </w:p>
    <w:p>
      <w:pPr>
        <w:pStyle w:val="ListParagraph"/>
        <w:numPr>
          <w:ilvl w:val="0"/>
          <w:numId w:val="3"/>
        </w:numPr>
        <w:spacing w:after="80"/>
      </w:pPr>
      <w:r>
        <w:rPr>
          <w:rFonts w:ascii="Arial" w:cs="Arial" w:eastAsia="Arial" w:hAnsi="Arial"/>
          <w:sz w:val="22"/>
          <w:szCs w:val="22"/>
        </w:rPr>
        <w:t xml:space="preserve">If no signal: investigate per user and per prompt patterns before changing the product</w:t>
      </w:r>
    </w:p>
    <w:p>
      <w:pPr>
        <w:pBdr>
          <w:top w:val="single" w:color="1A5276" w:sz="6" w:space="8"/>
        </w:pBdr>
        <w:spacing w:before="300"/>
      </w:pPr>
    </w:p>
    <w:p>
      <w:pPr>
        <w:spacing w:after="60" w:before="120"/>
      </w:pPr>
      <w:r>
        <w:rPr>
          <w:rFonts w:ascii="Arial" w:cs="Arial" w:eastAsia="Arial" w:hAnsi="Arial"/>
          <w:b/>
          <w:bCs/>
          <w:color w:val="1A5276"/>
          <w:sz w:val="24"/>
          <w:szCs w:val="24"/>
        </w:rPr>
        <w:t xml:space="preserve">The only question: </w:t>
      </w:r>
      <w:r>
        <w:rPr>
          <w:rFonts w:ascii="Arial" w:cs="Arial" w:eastAsia="Arial" w:hAnsi="Arial"/>
          <w:sz w:val="22"/>
          <w:szCs w:val="22"/>
        </w:rPr>
        <w:t xml:space="preserve">Does mneme amplified output win on Closeness to User Thinking at &gt;= 60% with &gt;= 0.5 delta? Answer that first. Everything else is downstream.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5276"/>
      <w:sz w:val="36"/>
      <w:szCs w:val="36"/>
    </w:rPr>
  </w:style>
  <w:style w:type="paragraph" w:styleId="Heading2">
    <w:name w:val="Heading 2"/>
    <w:basedOn w:val="Normal"/>
    <w:next w:val="Normal"/>
    <w:qFormat/>
    <w:pPr>
      <w:spacing w:after="160" w:before="240"/>
      <w:outlineLvl w:val="1"/>
    </w:pPr>
    <w:rPr>
      <w:rFonts w:ascii="Arial" w:cs="Arial" w:eastAsia="Arial" w:hAnsi="Arial"/>
      <w:b/>
      <w:bCs/>
      <w:color w:val="1A527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2C3E5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2026-03-24T21:19:16.044Z</dcterms:created>
  <dcterms:modified xsi:type="dcterms:W3CDTF">2026-03-24T21:19:16.046Z</dcterms:modified>
</cp:coreProperties>
</file>

<file path=docProps/custom.xml><?xml version="1.0" encoding="utf-8"?>
<Properties xmlns="http://schemas.openxmlformats.org/officeDocument/2006/custom-properties" xmlns:vt="http://schemas.openxmlformats.org/officeDocument/2006/docPropsVTypes"/>
</file>