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40" w:name="swm-sender-key-epoch-design"/>
    <w:p>
      <w:pPr>
        <w:pStyle w:val="Heading1"/>
        <w:keepNext/>
      </w:pPr>
      <w:r>
        <w:rPr>
          <w:rFonts w:ascii="Arial" w:hAnsi="Arial" w:eastAsia="Arial"/>
          <w:b/>
          <w:i w:val="0"/>
          <w:color w:val="0B4F63"/>
          <w:sz w:val="38"/>
        </w:rPr>
        <w:t xml:space="preserve">SWM Sender Key Epoch Design</w:t>
      </w:r>
    </w:p>
    <w:tbl>
      <w:tblPr>
        <w:tblStyle w:val="Table"/>
        <w:tblW w:type="dxa" w:w="9840"/>
        <w:jc w:val="center"/>
        <w:tblLayout w:type="fixed"/>
        <w:tblLook w:firstRow="1" w:lastRow="0" w:firstColumn="0" w:lastColumn="0" w:noHBand="0" w:noVBand="0" w:val="0020"/>
        <w:tblInd w:type="dxa" w:w="0"/>
        <w:tblBorders>
          <w:top w:val="single" w:sz="6" w:space="0" w:color="C9DCE2"/>
          <w:left w:val="single" w:sz="6" w:space="0" w:color="C9DCE2"/>
          <w:bottom w:val="single" w:sz="6" w:space="0" w:color="C9DCE2"/>
          <w:right w:val="single" w:sz="6" w:space="0" w:color="C9DCE2"/>
          <w:insideH w:val="single" w:sz="6" w:space="0" w:color="C9DCE2"/>
          <w:insideV w:val="single" w:sz="6" w:space="0" w:color="C9DCE2"/>
        </w:tblBorders>
      </w:tblPr>
      <w:tblGrid>
        <w:gridCol w:w="3960"/>
        <w:gridCol w:w="3960"/>
      </w:tblGrid>
      <w:tr>
        <w:trPr>
          <w:tblHeader w:val="true"/>
          <w:cantSplit w:val="true"/>
        </w:trPr>
        <w:tc>
          <w:tcPr>
            <w:tcW w:type="dxa" w:w="4100"/>
            <w:tcMar>
              <w:top w:w="95" w:type="dxa"/>
              <w:start w:w="120" w:type="dxa"/>
              <w:bottom w:w="95" w:type="dxa"/>
              <w:end w:w="120" w:type="dxa"/>
            </w:tcMar>
            <w:vAlign w:val="center"/>
            <w:shd w:fill="E7F3F6"/>
          </w:tcPr>
          <w:p>
            <w:pPr>
              <w:pStyle w:val="Compact"/>
              <w:spacing w:before="0" w:after="0" w:line="250" w:lineRule="auto"/>
            </w:pPr>
            <w:r>
              <w:rPr>
                <w:rFonts w:ascii="Arial" w:hAnsi="Arial" w:eastAsia="Arial"/>
                <w:b/>
                <w:color w:val="0B4F63"/>
                <w:sz w:val="19"/>
              </w:rPr>
              <w:t xml:space="preserve">Field</w:t>
            </w:r>
          </w:p>
        </w:tc>
        <w:tc>
          <w:tcPr>
            <w:tcW w:type="dxa" w:w="5740"/>
            <w:tcMar>
              <w:top w:w="95" w:type="dxa"/>
              <w:start w:w="120" w:type="dxa"/>
              <w:bottom w:w="95" w:type="dxa"/>
              <w:end w:w="120" w:type="dxa"/>
            </w:tcMar>
            <w:vAlign w:val="center"/>
            <w:shd w:fill="E7F3F6"/>
          </w:tcPr>
          <w:p>
            <w:pPr>
              <w:pStyle w:val="Compact"/>
              <w:spacing w:before="0" w:after="0" w:line="250" w:lineRule="auto"/>
            </w:pPr>
            <w:r>
              <w:rPr>
                <w:rFonts w:ascii="Arial" w:hAnsi="Arial" w:eastAsia="Arial"/>
                <w:b/>
                <w:color w:val="0B4F63"/>
                <w:sz w:val="19"/>
              </w:rPr>
              <w:t xml:space="preserve">Value</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Date</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2026-05-07</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Status</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Design note / follow-up proposal</w:t>
            </w:r>
          </w:p>
        </w:tc>
      </w:tr>
    </w:tbl>
    <w:bookmarkStart w:id="9" w:name="purpose"/>
    <w:p>
      <w:pPr>
        <w:pStyle w:val="Heading2"/>
        <w:keepNext/>
      </w:pPr>
      <w:r>
        <w:rPr>
          <w:rFonts w:ascii="Arial" w:hAnsi="Arial" w:eastAsia="Arial"/>
          <w:b/>
          <w:i w:val="0"/>
          <w:color w:val="0B4F63"/>
          <w:sz w:val="29"/>
        </w:rPr>
        <w:t xml:space="preserve">Purpose</w:t>
      </w:r>
    </w:p>
    <w:p>
      <w:pPr>
        <w:pStyle w:val="FirstParagraph"/>
      </w:pPr>
      <w:r>
        <w:rPr>
          <w:rFonts w:ascii="Arial" w:hAnsi="Arial" w:eastAsia="Arial"/>
          <w:color w:val="111827"/>
          <w:sz w:val="21"/>
        </w:rPr>
        <w:t xml:space="preserve">This document describes a WhatsApp-style Sender Key design for Shared Working Memory (SWM) GossipSub confidentiality. It is a follow-up to the encrypted SWM envelope work already committed in</w:t>
      </w:r>
      <w:r>
        <w:rPr>
          <w:rFonts w:ascii="Arial" w:hAnsi="Arial" w:eastAsia="Arial"/>
          <w:color w:val="111827"/>
          <w:sz w:val="21"/>
        </w:rPr>
        <w:t xml:space="preserve"> </w:t>
      </w:r>
      <w:r>
        <w:rPr>
          <w:rStyle w:val="VerbatimChar"/>
          <w:rFonts w:ascii="Arial" w:hAnsi="Arial" w:eastAsia="Arial"/>
          <w:color w:val="111827"/>
          <w:sz w:val="21"/>
        </w:rPr>
        <w:t xml:space="preserve">f2bb8f92 Encrypt private SWM gossip with agent keys</w:t>
      </w:r>
      <w:r>
        <w:rPr>
          <w:rFonts w:ascii="Arial" w:hAnsi="Arial" w:eastAsia="Arial"/>
          <w:color w:val="111827"/>
          <w:sz w:val="21"/>
        </w:rPr>
        <w:t xml:space="preserve">.</w:t>
      </w:r>
    </w:p>
    <w:p>
      <w:pPr>
        <w:pStyle w:val="BodyText"/>
      </w:pPr>
      <w:r>
        <w:rPr>
          <w:rFonts w:ascii="Arial" w:hAnsi="Arial" w:eastAsia="Arial"/>
          <w:color w:val="111827"/>
          <w:sz w:val="21"/>
        </w:rPr>
        <w:t xml:space="preserve">The committed work remains part of the design. It establishes the security contract that the Sender Key follow-up must keep:</w:t>
      </w:r>
    </w:p>
    <w:tbl>
      <w:tblPr>
        <w:tblStyle w:val="Table"/>
        <w:tblW w:type="dxa" w:w="9840"/>
        <w:jc w:val="center"/>
        <w:tblLayout w:type="fixed"/>
        <w:tblLook w:firstRow="1" w:lastRow="0" w:firstColumn="0" w:lastColumn="0" w:noHBand="0" w:noVBand="0" w:val="0020"/>
        <w:tblInd w:type="dxa" w:w="0"/>
        <w:tblBorders>
          <w:top w:val="single" w:sz="6" w:space="0" w:color="C9DCE2"/>
          <w:left w:val="single" w:sz="6" w:space="0" w:color="C9DCE2"/>
          <w:bottom w:val="single" w:sz="6" w:space="0" w:color="C9DCE2"/>
          <w:right w:val="single" w:sz="6" w:space="0" w:color="C9DCE2"/>
          <w:insideH w:val="single" w:sz="6" w:space="0" w:color="C9DCE2"/>
          <w:insideV w:val="single" w:sz="6" w:space="0" w:color="C9DCE2"/>
        </w:tblBorders>
      </w:tblPr>
      <w:tblGrid>
        <w:gridCol w:w="3960"/>
        <w:gridCol w:w="3960"/>
      </w:tblGrid>
      <w:tr>
        <w:trPr>
          <w:tblHeader w:val="true"/>
          <w:cantSplit w:val="true"/>
        </w:trPr>
        <w:tc>
          <w:tcPr>
            <w:tcW w:type="dxa" w:w="4100"/>
            <w:tcMar>
              <w:top w:w="95" w:type="dxa"/>
              <w:start w:w="120" w:type="dxa"/>
              <w:bottom w:w="95" w:type="dxa"/>
              <w:end w:w="120" w:type="dxa"/>
            </w:tcMar>
            <w:vAlign w:val="center"/>
            <w:shd w:fill="E7F3F6"/>
          </w:tcPr>
          <w:p>
            <w:pPr>
              <w:pStyle w:val="Compact"/>
              <w:spacing w:before="0" w:after="0" w:line="250" w:lineRule="auto"/>
            </w:pPr>
            <w:r>
              <w:rPr>
                <w:rFonts w:ascii="Arial" w:hAnsi="Arial" w:eastAsia="Arial"/>
                <w:b/>
                <w:color w:val="0B4F63"/>
                <w:sz w:val="19"/>
              </w:rPr>
              <w:t xml:space="preserve">Contract</w:t>
            </w:r>
          </w:p>
        </w:tc>
        <w:tc>
          <w:tcPr>
            <w:tcW w:type="dxa" w:w="5740"/>
            <w:tcMar>
              <w:top w:w="95" w:type="dxa"/>
              <w:start w:w="120" w:type="dxa"/>
              <w:bottom w:w="95" w:type="dxa"/>
              <w:end w:w="120" w:type="dxa"/>
            </w:tcMar>
            <w:vAlign w:val="center"/>
            <w:shd w:fill="E7F3F6"/>
          </w:tcPr>
          <w:p>
            <w:pPr>
              <w:pStyle w:val="Compact"/>
              <w:spacing w:before="0" w:after="0" w:line="250" w:lineRule="auto"/>
            </w:pPr>
            <w:r>
              <w:rPr>
                <w:rFonts w:ascii="Arial" w:hAnsi="Arial" w:eastAsia="Arial"/>
                <w:b/>
                <w:color w:val="0B4F63"/>
                <w:sz w:val="19"/>
              </w:rPr>
              <w:t xml:space="preserve">Required behavior</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Private payload confidentiality</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Private and agent-gated SWM payloads are encrypted before GossipSub publish.</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Agent-only recipients</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Recipients are DKG agents resolved from</w:t>
            </w:r>
            <w:r>
              <w:rPr>
                <w:rFonts w:ascii="Arial" w:hAnsi="Arial" w:eastAsia="Arial"/>
                <w:color w:val="111827"/>
                <w:sz w:val="19"/>
              </w:rPr>
              <w:t xml:space="preserve"> </w:t>
            </w:r>
            <w:r>
              <w:rPr>
                <w:rStyle w:val="VerbatimChar"/>
                <w:rFonts w:ascii="Arial" w:hAnsi="Arial" w:eastAsia="Arial"/>
                <w:color w:val="111827"/>
                <w:sz w:val="19"/>
              </w:rPr>
              <w:t xml:space="preserve">DKG_ALLOWED_AGENT</w:t>
            </w:r>
            <w:r>
              <w:rPr>
                <w:rFonts w:ascii="Arial" w:hAnsi="Arial" w:eastAsia="Arial"/>
                <w:color w:val="111827"/>
                <w:sz w:val="19"/>
              </w:rPr>
              <w:t xml:space="preserve"> </w:t>
            </w:r>
            <w:r>
              <w:rPr>
                <w:rFonts w:ascii="Arial" w:hAnsi="Arial" w:eastAsia="Arial"/>
                <w:color w:val="111827"/>
                <w:sz w:val="19"/>
              </w:rPr>
              <w:t xml:space="preserve">and</w:t>
            </w:r>
            <w:r>
              <w:rPr>
                <w:rFonts w:ascii="Arial" w:hAnsi="Arial" w:eastAsia="Arial"/>
                <w:color w:val="111827"/>
                <w:sz w:val="19"/>
              </w:rPr>
              <w:t xml:space="preserve"> </w:t>
            </w:r>
            <w:r>
              <w:rPr>
                <w:rStyle w:val="VerbatimChar"/>
                <w:rFonts w:ascii="Arial" w:hAnsi="Arial" w:eastAsia="Arial"/>
                <w:color w:val="111827"/>
                <w:sz w:val="19"/>
              </w:rPr>
              <w:t xml:space="preserve">DKG_PARTICIPANT_AGENT</w:t>
            </w:r>
            <w:r>
              <w:rPr>
                <w:rFonts w:ascii="Arial" w:hAnsi="Arial" w:eastAsia="Arial"/>
                <w:color w:val="111827"/>
                <w:sz w:val="19"/>
              </w:rPr>
              <w:t xml:space="preserve">.</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No peer encryption identity</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Peer IDs and peer-only allowlists are not encryption recipient inputs.</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Fail closed</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Missing, untrusted, spoofed, wrong-algorithm, or ambiguous agent encryption keys stop private SWM.</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No private plaintext fallback</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Private and agent-gated SWM reject plaintext fallback.</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Public compatibility</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Public/open SWM remains backward compatible.</w:t>
            </w:r>
          </w:p>
        </w:tc>
      </w:tr>
    </w:tbl>
    <w:p>
      <w:pPr>
        <w:pStyle w:val="BodyText"/>
      </w:pPr>
      <w:r>
        <w:rPr>
          <w:rFonts w:ascii="Arial" w:hAnsi="Arial" w:eastAsia="Arial"/>
          <w:color w:val="111827"/>
          <w:sz w:val="21"/>
        </w:rPr>
        <w:t xml:space="preserve">The Sender Key follow-up keeps that foundation and changes where the per-recipient encryption work happens:</w:t>
      </w:r>
    </w:p>
    <w:tbl>
      <w:tblPr>
        <w:tblStyle w:val="Table"/>
        <w:tblW w:type="dxa" w:w="9840"/>
        <w:jc w:val="center"/>
        <w:tblLayout w:type="fixed"/>
        <w:tblLook w:firstRow="1" w:lastRow="0" w:firstColumn="0" w:lastColumn="0" w:noHBand="0" w:noVBand="0" w:val="0020"/>
        <w:tblInd w:type="dxa" w:w="0"/>
        <w:tblBorders>
          <w:top w:val="single" w:sz="6" w:space="0" w:color="C9DCE2"/>
          <w:left w:val="single" w:sz="6" w:space="0" w:color="C9DCE2"/>
          <w:bottom w:val="single" w:sz="6" w:space="0" w:color="C9DCE2"/>
          <w:right w:val="single" w:sz="6" w:space="0" w:color="C9DCE2"/>
          <w:insideH w:val="single" w:sz="6" w:space="0" w:color="C9DCE2"/>
          <w:insideV w:val="single" w:sz="6" w:space="0" w:color="C9DCE2"/>
        </w:tblBorders>
      </w:tblPr>
      <w:tblGrid>
        <w:gridCol w:w="3960"/>
        <w:gridCol w:w="3960"/>
      </w:tblGrid>
      <w:tr>
        <w:trPr>
          <w:tblHeader w:val="true"/>
          <w:cantSplit w:val="true"/>
        </w:trPr>
        <w:tc>
          <w:tcPr>
            <w:tcW w:type="dxa" w:w="4100"/>
            <w:tcMar>
              <w:top w:w="95" w:type="dxa"/>
              <w:start w:w="120" w:type="dxa"/>
              <w:bottom w:w="95" w:type="dxa"/>
              <w:end w:w="120" w:type="dxa"/>
            </w:tcMar>
            <w:vAlign w:val="center"/>
            <w:shd w:fill="E7F3F6"/>
          </w:tcPr>
          <w:p>
            <w:pPr>
              <w:pStyle w:val="Compact"/>
              <w:spacing w:before="0" w:after="0" w:line="250" w:lineRule="auto"/>
            </w:pPr>
            <w:r>
              <w:rPr>
                <w:rFonts w:ascii="Arial" w:hAnsi="Arial" w:eastAsia="Arial"/>
                <w:b/>
                <w:color w:val="0B4F63"/>
                <w:sz w:val="19"/>
              </w:rPr>
              <w:t xml:space="preserve">Step</w:t>
            </w:r>
          </w:p>
        </w:tc>
        <w:tc>
          <w:tcPr>
            <w:tcW w:type="dxa" w:w="5740"/>
            <w:tcMar>
              <w:top w:w="95" w:type="dxa"/>
              <w:start w:w="120" w:type="dxa"/>
              <w:bottom w:w="95" w:type="dxa"/>
              <w:end w:w="120" w:type="dxa"/>
            </w:tcMar>
            <w:vAlign w:val="center"/>
            <w:shd w:fill="E7F3F6"/>
          </w:tcPr>
          <w:p>
            <w:pPr>
              <w:pStyle w:val="Compact"/>
              <w:spacing w:before="0" w:after="0" w:line="250" w:lineRule="auto"/>
            </w:pPr>
            <w:r>
              <w:rPr>
                <w:rFonts w:ascii="Arial" w:hAnsi="Arial" w:eastAsia="Arial"/>
                <w:b/>
                <w:color w:val="0B4F63"/>
                <w:sz w:val="19"/>
              </w:rPr>
              <w:t xml:space="preserve">Sender Key behavior</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Setup</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The sender distributes a per-sender, per-epoch secret to allowed DKG agents through individually encrypted setup messages.</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Broadcast</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Later SWM broadcasts carry one ciphertext for the group.</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Receive</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Each receiver advances the same ratchet state to derive the message key for that broadcast.</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Membership change</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The graph starts a new epoch and repeats setup with the current allowed DKG agents.</w:t>
            </w:r>
          </w:p>
        </w:tc>
      </w:tr>
    </w:tbl>
    <w:p>
      <w:pPr>
        <w:pStyle w:val="BodyText"/>
      </w:pPr>
      <w:r>
        <w:rPr>
          <w:rFonts w:ascii="Arial" w:hAnsi="Arial" w:eastAsia="Arial"/>
          <w:color w:val="111827"/>
          <w:sz w:val="21"/>
        </w:rPr>
        <w:t xml:space="preserve">The goal is still SWM payload confidentiality only. This does not redesign Knowledge Asset publishing, on-chain context graph policy, or historical key rotation.</w:t>
      </w:r>
    </w:p>
    <w:bookmarkEnd w:id="9"/>
    <w:bookmarkStart w:id="12" w:name="source-pattern"/>
    <w:p>
      <w:pPr>
        <w:pStyle w:val="Heading2"/>
        <w:keepNext/>
      </w:pPr>
      <w:r>
        <w:rPr>
          <w:rFonts w:ascii="Arial" w:hAnsi="Arial" w:eastAsia="Arial"/>
          <w:b/>
          <w:i w:val="0"/>
          <w:color w:val="0B4F63"/>
          <w:sz w:val="29"/>
        </w:rPr>
        <w:t xml:space="preserve">Source Pattern</w:t>
      </w:r>
    </w:p>
    <w:p>
      <w:pPr>
        <w:pStyle w:val="FirstParagraph"/>
      </w:pPr>
      <w:r>
        <w:rPr>
          <w:rFonts w:ascii="Arial" w:hAnsi="Arial" w:eastAsia="Arial"/>
          <w:color w:val="111827"/>
          <w:sz w:val="21"/>
        </w:rPr>
        <w:t xml:space="preserve">WhatsApp’s group messaging design uses the Signal Sender Keys pattern. In that model, the first group message from a sender causes the sender to create a random chain key and a sender signing key, distribute that sender key material to each group member through pairwise encrypted sessions, then send later group messages as a single fanout ciphertext derived from the chain key. When a member leaves, group participants clear sender keys and start over.</w:t>
      </w:r>
    </w:p>
    <w:p>
      <w:pPr>
        <w:pStyle w:val="BodyText"/>
      </w:pPr>
      <w:r>
        <w:rPr>
          <w:rFonts w:ascii="Arial" w:hAnsi="Arial" w:eastAsia="Arial"/>
          <w:color w:val="111827"/>
          <w:sz w:val="21"/>
        </w:rPr>
        <w:t xml:space="preserve">References:</w:t>
      </w:r>
    </w:p>
    <w:p>
      <w:pPr>
        <w:pStyle w:val="Compact"/>
        <w:numPr>
          <w:ilvl w:val="0"/>
          <w:numId w:val="1001"/>
        </w:numPr>
      </w:pPr>
      <w:r>
        <w:rPr>
          <w:rFonts w:ascii="Arial" w:hAnsi="Arial" w:eastAsia="Arial"/>
          <w:color w:val="111827"/>
          <w:sz w:val="21"/>
        </w:rPr>
        <w:t xml:space="preserve">WhatsApp Encryption Overview, group messages / Sender Keys:</w:t>
      </w:r>
      <w:r>
        <w:rPr>
          <w:rFonts w:ascii="Arial" w:hAnsi="Arial" w:eastAsia="Arial"/>
          <w:color w:val="111827"/>
          <w:sz w:val="21"/>
        </w:rPr>
        <w:t xml:space="preserve"> </w:t>
      </w:r>
      <w:hyperlink r:id="rId10">
        <w:r>
          <w:rPr>
            <w:rStyle w:val="Hyperlink"/>
          </w:rPr>
          <w:t xml:space="preserve">https://docslib.org/doc/4876008/whatsapp-encryption-overview</w:t>
        </w:r>
      </w:hyperlink>
    </w:p>
    <w:p>
      <w:pPr>
        <w:pStyle w:val="Compact"/>
        <w:numPr>
          <w:ilvl w:val="0"/>
          <w:numId w:val="1001"/>
        </w:numPr>
      </w:pPr>
      <w:r>
        <w:rPr>
          <w:rFonts w:ascii="Arial" w:hAnsi="Arial" w:eastAsia="Arial"/>
          <w:color w:val="111827"/>
          <w:sz w:val="21"/>
        </w:rPr>
        <w:t xml:space="preserve">Meta Messenger end-to-end encryption overview, group messaging uses Sender Keys for efficient fanout:</w:t>
      </w:r>
      <w:r>
        <w:rPr>
          <w:rFonts w:ascii="Arial" w:hAnsi="Arial" w:eastAsia="Arial"/>
          <w:color w:val="111827"/>
          <w:sz w:val="21"/>
        </w:rPr>
        <w:t xml:space="preserve"> </w:t>
      </w:r>
      <w:hyperlink r:id="rId11">
        <w:r>
          <w:rPr>
            <w:rStyle w:val="Hyperlink"/>
          </w:rPr>
          <w:t xml:space="preserve">https://engineering.fb.com/wp-content/uploads/2023/12/MessengerEnd-to-EndEncryptionOverview_12-6-2023.pdf</w:t>
        </w:r>
      </w:hyperlink>
    </w:p>
    <w:bookmarkEnd w:id="12"/>
    <w:bookmarkStart w:id="13" w:name="key-correction"/>
    <w:p>
      <w:pPr>
        <w:pStyle w:val="Heading2"/>
        <w:keepNext/>
      </w:pPr>
      <w:r>
        <w:rPr>
          <w:rFonts w:ascii="Arial" w:hAnsi="Arial" w:eastAsia="Arial"/>
          <w:b/>
          <w:i w:val="0"/>
          <w:color w:val="0B4F63"/>
          <w:sz w:val="29"/>
        </w:rPr>
        <w:t xml:space="preserve">Key Correction</w:t>
      </w:r>
    </w:p>
    <w:p>
      <w:pPr>
        <w:pStyle w:val="FirstParagraph"/>
      </w:pPr>
      <w:r>
        <w:rPr>
          <w:rFonts w:ascii="Arial" w:hAnsi="Arial" w:eastAsia="Arial"/>
          <w:color w:val="111827"/>
          <w:sz w:val="21"/>
        </w:rPr>
        <w:t xml:space="preserve">The private signing key should not encrypt the SWM payload.</w:t>
      </w:r>
    </w:p>
    <w:p>
      <w:pPr>
        <w:pStyle w:val="BodyText"/>
      </w:pPr>
      <w:r>
        <w:rPr>
          <w:rFonts w:ascii="Arial" w:hAnsi="Arial" w:eastAsia="Arial"/>
          <w:color w:val="111827"/>
          <w:sz w:val="21"/>
        </w:rPr>
        <w:t xml:space="preserve">The split should be:</w:t>
      </w:r>
    </w:p>
    <w:tbl>
      <w:tblPr>
        <w:tblStyle w:val="Table"/>
        <w:tblW w:type="dxa" w:w="9840"/>
        <w:jc w:val="center"/>
        <w:tblLayout w:type="fixed"/>
        <w:tblLook w:firstRow="1" w:lastRow="0" w:firstColumn="0" w:lastColumn="0" w:noHBand="0" w:noVBand="0" w:val="0020"/>
        <w:tblInd w:type="dxa" w:w="0"/>
        <w:tblBorders>
          <w:top w:val="single" w:sz="6" w:space="0" w:color="C9DCE2"/>
          <w:left w:val="single" w:sz="6" w:space="0" w:color="C9DCE2"/>
          <w:bottom w:val="single" w:sz="6" w:space="0" w:color="C9DCE2"/>
          <w:right w:val="single" w:sz="6" w:space="0" w:color="C9DCE2"/>
          <w:insideH w:val="single" w:sz="6" w:space="0" w:color="C9DCE2"/>
          <w:insideV w:val="single" w:sz="6" w:space="0" w:color="C9DCE2"/>
        </w:tblBorders>
      </w:tblPr>
      <w:tblGrid>
        <w:gridCol w:w="3960"/>
        <w:gridCol w:w="3960"/>
      </w:tblGrid>
      <w:tr>
        <w:trPr>
          <w:tblHeader w:val="true"/>
          <w:cantSplit w:val="true"/>
        </w:trPr>
        <w:tc>
          <w:tcPr>
            <w:tcW w:type="dxa" w:w="4100"/>
            <w:tcMar>
              <w:top w:w="95" w:type="dxa"/>
              <w:start w:w="120" w:type="dxa"/>
              <w:bottom w:w="95" w:type="dxa"/>
              <w:end w:w="120" w:type="dxa"/>
            </w:tcMar>
            <w:vAlign w:val="center"/>
            <w:shd w:fill="E7F3F6"/>
          </w:tcPr>
          <w:p>
            <w:pPr>
              <w:pStyle w:val="Compact"/>
              <w:spacing w:before="0" w:after="0" w:line="250" w:lineRule="auto"/>
            </w:pPr>
            <w:r>
              <w:rPr>
                <w:rFonts w:ascii="Arial" w:hAnsi="Arial" w:eastAsia="Arial"/>
                <w:b/>
                <w:color w:val="0B4F63"/>
                <w:sz w:val="19"/>
              </w:rPr>
              <w:t xml:space="preserve">Material</w:t>
            </w:r>
          </w:p>
        </w:tc>
        <w:tc>
          <w:tcPr>
            <w:tcW w:type="dxa" w:w="5740"/>
            <w:tcMar>
              <w:top w:w="95" w:type="dxa"/>
              <w:start w:w="120" w:type="dxa"/>
              <w:bottom w:w="95" w:type="dxa"/>
              <w:end w:w="120" w:type="dxa"/>
            </w:tcMar>
            <w:vAlign w:val="center"/>
            <w:shd w:fill="E7F3F6"/>
          </w:tcPr>
          <w:p>
            <w:pPr>
              <w:pStyle w:val="Compact"/>
              <w:spacing w:before="0" w:after="0" w:line="250" w:lineRule="auto"/>
            </w:pPr>
            <w:r>
              <w:rPr>
                <w:rFonts w:ascii="Arial" w:hAnsi="Arial" w:eastAsia="Arial"/>
                <w:b/>
                <w:color w:val="0B4F63"/>
                <w:sz w:val="19"/>
              </w:rPr>
              <w:t xml:space="preserve">Purpose</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DKG agent identity key</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Authenticates the agent and signs/binds its public encryption key.</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DKG agent X25519 encryption key</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Receives encrypted sender-key setup packages.</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Sender chain key</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Secret ratchet state used to derive per-message encryption keys.</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Sender epoch signing key</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Signs sender-key ciphertexts for that epoch.</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Message key</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Encrypts exactly one SWM gossip payload.</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Message nonce/IV</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AEAD nonce or IV derived per message; not the same thing as the chain key.</w:t>
            </w:r>
          </w:p>
        </w:tc>
      </w:tr>
    </w:tbl>
    <w:p>
      <w:pPr>
        <w:pStyle w:val="BodyText"/>
      </w:pPr>
      <w:r>
        <w:rPr>
          <w:rFonts w:ascii="Arial" w:hAnsi="Arial" w:eastAsia="Arial"/>
          <w:color w:val="111827"/>
          <w:sz w:val="21"/>
        </w:rPr>
        <w:t xml:space="preserve">The chain key is not merely a nonce. It is secret ratchet state. Each message advances it with a KDF so old message keys do not reveal future message keys.</w:t>
      </w:r>
    </w:p>
    <w:bookmarkEnd w:id="13"/>
    <w:bookmarkStart w:id="17" w:name="committed-work-that-stays"/>
    <w:p>
      <w:pPr>
        <w:pStyle w:val="Heading2"/>
        <w:keepNext/>
      </w:pPr>
      <w:r>
        <w:rPr>
          <w:rFonts w:ascii="Arial" w:hAnsi="Arial" w:eastAsia="Arial"/>
          <w:b/>
          <w:i w:val="0"/>
          <w:color w:val="0B4F63"/>
          <w:sz w:val="29"/>
        </w:rPr>
        <w:t xml:space="preserve">Committed Work That Stays</w:t>
      </w:r>
    </w:p>
    <w:p>
      <w:pPr>
        <w:pStyle w:val="FirstParagraph"/>
      </w:pPr>
      <w:r>
        <w:rPr>
          <w:rFonts w:ascii="Arial" w:hAnsi="Arial" w:eastAsia="Arial"/>
          <w:color w:val="111827"/>
          <w:sz w:val="21"/>
        </w:rPr>
        <w:t xml:space="preserve">Commit</w:t>
      </w:r>
      <w:r>
        <w:rPr>
          <w:rFonts w:ascii="Arial" w:hAnsi="Arial" w:eastAsia="Arial"/>
          <w:color w:val="111827"/>
          <w:sz w:val="21"/>
        </w:rPr>
        <w:t xml:space="preserve"> </w:t>
      </w:r>
      <w:r>
        <w:rPr>
          <w:rStyle w:val="VerbatimChar"/>
          <w:rFonts w:ascii="Arial" w:hAnsi="Arial" w:eastAsia="Arial"/>
          <w:color w:val="111827"/>
          <w:sz w:val="21"/>
        </w:rPr>
        <w:t xml:space="preserve">f2bb8f92 Encrypt private SWM gossip with agent keys</w:t>
      </w:r>
      <w:r>
        <w:rPr>
          <w:rFonts w:ascii="Arial" w:hAnsi="Arial" w:eastAsia="Arial"/>
          <w:color w:val="111827"/>
          <w:sz w:val="21"/>
        </w:rPr>
        <w:t xml:space="preserve"> </w:t>
      </w:r>
      <w:r>
        <w:rPr>
          <w:rFonts w:ascii="Arial" w:hAnsi="Arial" w:eastAsia="Arial"/>
          <w:color w:val="111827"/>
          <w:sz w:val="21"/>
        </w:rPr>
        <w:t xml:space="preserve">is the Phase 0 confidentiality foundation. The Sender Key follow-up keeps the same trust model and failure rules, then changes only how private broadcast keys are amortized.</w:t>
      </w:r>
    </w:p>
    <w:bookmarkStart w:id="14" w:name="preserved-security-contract"/>
    <w:p>
      <w:pPr>
        <w:pStyle w:val="Heading3"/>
        <w:keepNext/>
      </w:pPr>
      <w:r>
        <w:rPr>
          <w:rFonts w:ascii="Arial" w:hAnsi="Arial" w:eastAsia="Arial"/>
          <w:b/>
          <w:i w:val="0"/>
          <w:color w:val="0B4F63"/>
          <w:sz w:val="24"/>
        </w:rPr>
        <w:t xml:space="preserve">Preserved Security Contract</w:t>
      </w:r>
    </w:p>
    <w:tbl>
      <w:tblPr>
        <w:tblStyle w:val="Table"/>
        <w:tblW w:type="dxa" w:w="9840"/>
        <w:jc w:val="center"/>
        <w:tblLayout w:type="fixed"/>
        <w:tblLook w:firstRow="1" w:lastRow="0" w:firstColumn="0" w:lastColumn="0" w:noHBand="0" w:noVBand="0" w:val="0020"/>
        <w:tblInd w:type="dxa" w:w="0"/>
        <w:tblBorders>
          <w:top w:val="single" w:sz="6" w:space="0" w:color="C9DCE2"/>
          <w:left w:val="single" w:sz="6" w:space="0" w:color="C9DCE2"/>
          <w:bottom w:val="single" w:sz="6" w:space="0" w:color="C9DCE2"/>
          <w:right w:val="single" w:sz="6" w:space="0" w:color="C9DCE2"/>
          <w:insideH w:val="single" w:sz="6" w:space="0" w:color="C9DCE2"/>
          <w:insideV w:val="single" w:sz="6" w:space="0" w:color="C9DCE2"/>
        </w:tblBorders>
      </w:tblPr>
      <w:tblGrid>
        <w:gridCol w:w="3960"/>
        <w:gridCol w:w="3960"/>
      </w:tblGrid>
      <w:tr>
        <w:trPr>
          <w:tblHeader w:val="true"/>
          <w:cantSplit w:val="true"/>
        </w:trPr>
        <w:tc>
          <w:tcPr>
            <w:tcW w:type="dxa" w:w="4100"/>
            <w:tcMar>
              <w:top w:w="95" w:type="dxa"/>
              <w:start w:w="120" w:type="dxa"/>
              <w:bottom w:w="95" w:type="dxa"/>
              <w:end w:w="120" w:type="dxa"/>
            </w:tcMar>
            <w:vAlign w:val="center"/>
            <w:shd w:fill="E7F3F6"/>
          </w:tcPr>
          <w:p>
            <w:pPr>
              <w:pStyle w:val="Compact"/>
              <w:spacing w:before="0" w:after="0" w:line="250" w:lineRule="auto"/>
            </w:pPr>
            <w:r>
              <w:rPr>
                <w:rFonts w:ascii="Arial" w:hAnsi="Arial" w:eastAsia="Arial"/>
                <w:b/>
                <w:color w:val="0B4F63"/>
                <w:sz w:val="19"/>
              </w:rPr>
              <w:t xml:space="preserve">Contract</w:t>
            </w:r>
          </w:p>
        </w:tc>
        <w:tc>
          <w:tcPr>
            <w:tcW w:type="dxa" w:w="5740"/>
            <w:tcMar>
              <w:top w:w="95" w:type="dxa"/>
              <w:start w:w="120" w:type="dxa"/>
              <w:bottom w:w="95" w:type="dxa"/>
              <w:end w:w="120" w:type="dxa"/>
            </w:tcMar>
            <w:vAlign w:val="center"/>
            <w:shd w:fill="E7F3F6"/>
          </w:tcPr>
          <w:p>
            <w:pPr>
              <w:pStyle w:val="Compact"/>
              <w:spacing w:before="0" w:after="0" w:line="250" w:lineRule="auto"/>
            </w:pPr>
            <w:r>
              <w:rPr>
                <w:rFonts w:ascii="Arial" w:hAnsi="Arial" w:eastAsia="Arial"/>
                <w:b/>
                <w:color w:val="0B4F63"/>
                <w:sz w:val="19"/>
              </w:rPr>
              <w:t xml:space="preserve">Current behavior to keep</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Payload confidentiality</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Private and agent-gated SWM bytes are encrypted before GossipSub publish.</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Agent-only recipients</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Encryption recipients come only from</w:t>
            </w:r>
            <w:r>
              <w:rPr>
                <w:rFonts w:ascii="Arial" w:hAnsi="Arial" w:eastAsia="Arial"/>
                <w:color w:val="111827"/>
                <w:sz w:val="19"/>
              </w:rPr>
              <w:t xml:space="preserve"> </w:t>
            </w:r>
            <w:r>
              <w:rPr>
                <w:rStyle w:val="VerbatimChar"/>
                <w:rFonts w:ascii="Arial" w:hAnsi="Arial" w:eastAsia="Arial"/>
                <w:color w:val="111827"/>
                <w:sz w:val="19"/>
              </w:rPr>
              <w:t xml:space="preserve">DKG_ALLOWED_AGENT</w:t>
            </w:r>
            <w:r>
              <w:rPr>
                <w:rFonts w:ascii="Arial" w:hAnsi="Arial" w:eastAsia="Arial"/>
                <w:color w:val="111827"/>
                <w:sz w:val="19"/>
              </w:rPr>
              <w:t xml:space="preserve"> </w:t>
            </w:r>
            <w:r>
              <w:rPr>
                <w:rFonts w:ascii="Arial" w:hAnsi="Arial" w:eastAsia="Arial"/>
                <w:color w:val="111827"/>
                <w:sz w:val="19"/>
              </w:rPr>
              <w:t xml:space="preserve">and</w:t>
            </w:r>
            <w:r>
              <w:rPr>
                <w:rFonts w:ascii="Arial" w:hAnsi="Arial" w:eastAsia="Arial"/>
                <w:color w:val="111827"/>
                <w:sz w:val="19"/>
              </w:rPr>
              <w:t xml:space="preserve"> </w:t>
            </w:r>
            <w:r>
              <w:rPr>
                <w:rStyle w:val="VerbatimChar"/>
                <w:rFonts w:ascii="Arial" w:hAnsi="Arial" w:eastAsia="Arial"/>
                <w:color w:val="111827"/>
                <w:sz w:val="19"/>
              </w:rPr>
              <w:t xml:space="preserve">DKG_PARTICIPANT_AGENT</w:t>
            </w:r>
            <w:r>
              <w:rPr>
                <w:rFonts w:ascii="Arial" w:hAnsi="Arial" w:eastAsia="Arial"/>
                <w:color w:val="111827"/>
                <w:sz w:val="19"/>
              </w:rPr>
              <w:t xml:space="preserve">.</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No peer-key model</w:t>
            </w:r>
          </w:p>
        </w:tc>
        <w:tc>
          <w:tcPr>
            <w:tcW w:type="dxa" w:w="574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DKG_ALLOWED_PEER</w:t>
            </w:r>
            <w:r>
              <w:rPr>
                <w:rFonts w:ascii="Arial" w:hAnsi="Arial" w:eastAsia="Arial"/>
                <w:color w:val="111827"/>
                <w:sz w:val="19"/>
              </w:rPr>
              <w:t xml:space="preserve">, libp2p peer IDs, and peer-only allowlists are not encryption recipients.</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Fail closed</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Missing, untrusted, spoofed, wrong-algorithm, ambiguous, or absent DKG agent keys stop private publish/receive.</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Private plaintext rejection</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Private and agent-gated graphs reject legacy plaintext SWM payloads.</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Public compatibility</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Public/open SWM keeps the legacy plaintext-compatible path.</w:t>
            </w:r>
          </w:p>
        </w:tc>
      </w:tr>
    </w:tbl>
    <w:bookmarkEnd w:id="14"/>
    <w:bookmarkStart w:id="15" w:name="kept-implementation-surface"/>
    <w:p>
      <w:pPr>
        <w:pStyle w:val="Heading3"/>
        <w:keepNext/>
      </w:pPr>
      <w:r>
        <w:rPr>
          <w:rFonts w:ascii="Arial" w:hAnsi="Arial" w:eastAsia="Arial"/>
          <w:b/>
          <w:i w:val="0"/>
          <w:color w:val="0B4F63"/>
          <w:sz w:val="24"/>
        </w:rPr>
        <w:t xml:space="preserve">Kept Implementation Surface</w:t>
      </w:r>
    </w:p>
    <w:tbl>
      <w:tblPr>
        <w:tblStyle w:val="Table"/>
        <w:tblW w:type="dxa" w:w="9840"/>
        <w:jc w:val="center"/>
        <w:tblLayout w:type="fixed"/>
        <w:tblLook w:firstRow="1" w:lastRow="0" w:firstColumn="0" w:lastColumn="0" w:noHBand="0" w:noVBand="0" w:val="0020"/>
        <w:tblInd w:type="dxa" w:w="0"/>
        <w:tblBorders>
          <w:top w:val="single" w:sz="6" w:space="0" w:color="C9DCE2"/>
          <w:left w:val="single" w:sz="6" w:space="0" w:color="C9DCE2"/>
          <w:bottom w:val="single" w:sz="6" w:space="0" w:color="C9DCE2"/>
          <w:right w:val="single" w:sz="6" w:space="0" w:color="C9DCE2"/>
          <w:insideH w:val="single" w:sz="6" w:space="0" w:color="C9DCE2"/>
          <w:insideV w:val="single" w:sz="6" w:space="0" w:color="C9DCE2"/>
        </w:tblBorders>
      </w:tblPr>
      <w:tblGrid>
        <w:gridCol w:w="3960"/>
        <w:gridCol w:w="3960"/>
      </w:tblGrid>
      <w:tr>
        <w:trPr>
          <w:tblHeader w:val="true"/>
          <w:cantSplit w:val="true"/>
        </w:trPr>
        <w:tc>
          <w:tcPr>
            <w:tcW w:type="dxa" w:w="4100"/>
            <w:tcMar>
              <w:top w:w="95" w:type="dxa"/>
              <w:start w:w="120" w:type="dxa"/>
              <w:bottom w:w="95" w:type="dxa"/>
              <w:end w:w="120" w:type="dxa"/>
            </w:tcMar>
            <w:vAlign w:val="center"/>
            <w:shd w:fill="E7F3F6"/>
          </w:tcPr>
          <w:p>
            <w:pPr>
              <w:pStyle w:val="Compact"/>
              <w:spacing w:before="0" w:after="0" w:line="250" w:lineRule="auto"/>
            </w:pPr>
            <w:r>
              <w:rPr>
                <w:rFonts w:ascii="Arial" w:hAnsi="Arial" w:eastAsia="Arial"/>
                <w:b/>
                <w:color w:val="0B4F63"/>
                <w:sz w:val="19"/>
              </w:rPr>
              <w:t xml:space="preserve">Area</w:t>
            </w:r>
          </w:p>
        </w:tc>
        <w:tc>
          <w:tcPr>
            <w:tcW w:type="dxa" w:w="5740"/>
            <w:tcMar>
              <w:top w:w="95" w:type="dxa"/>
              <w:start w:w="120" w:type="dxa"/>
              <w:bottom w:w="95" w:type="dxa"/>
              <w:end w:w="120" w:type="dxa"/>
            </w:tcMar>
            <w:vAlign w:val="center"/>
            <w:shd w:fill="E7F3F6"/>
          </w:tcPr>
          <w:p>
            <w:pPr>
              <w:pStyle w:val="Compact"/>
              <w:spacing w:before="0" w:after="0" w:line="250" w:lineRule="auto"/>
            </w:pPr>
            <w:r>
              <w:rPr>
                <w:rFonts w:ascii="Arial" w:hAnsi="Arial" w:eastAsia="Arial"/>
                <w:b/>
                <w:color w:val="0B4F63"/>
                <w:sz w:val="19"/>
              </w:rPr>
              <w:t xml:space="preserve">What stays</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Agent key model</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DKG agent X25519 workspace keys, local private-key persistence, self-sovereign public-key registration, profile advertisement, and proof binding to the agent address.</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Recipient resolution</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Context graph metadata is resolved into verified DKG agent recipient key IDs. Invalid addresses, missing keys, RDF-only keys, unsupported algorithms, spoofed proofs, and ambiguous keys are rejected.</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Crypto and envelope helpers</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Versioned encrypted workspace envelopes, deterministic AAD framing, X25519 key agreement, AES-GCM payload encryption, key wrapping, key IDs, and key proof helpers remain reusable.</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Publisher integration</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Private or agent-gated remote SWM gossip is encrypted before publication and requires a sender DKG agent identity.</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Receive handling</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The receiver verifies/decrypts first, validates context binding, rejects private plaintext fallback, then passes the plaintext</w:t>
            </w:r>
            <w:r>
              <w:rPr>
                <w:rFonts w:ascii="Arial" w:hAnsi="Arial" w:eastAsia="Arial"/>
                <w:color w:val="111827"/>
                <w:sz w:val="19"/>
              </w:rPr>
              <w:t xml:space="preserve"> </w:t>
            </w:r>
            <w:r>
              <w:rPr>
                <w:rStyle w:val="VerbatimChar"/>
                <w:rFonts w:ascii="Arial" w:hAnsi="Arial" w:eastAsia="Arial"/>
                <w:color w:val="111827"/>
                <w:sz w:val="19"/>
              </w:rPr>
              <w:t xml:space="preserve">WorkspacePublishRequest</w:t>
            </w:r>
            <w:r>
              <w:rPr>
                <w:rFonts w:ascii="Arial" w:hAnsi="Arial" w:eastAsia="Arial"/>
                <w:color w:val="111827"/>
                <w:sz w:val="19"/>
              </w:rPr>
              <w:t xml:space="preserve"> </w:t>
            </w:r>
            <w:r>
              <w:rPr>
                <w:rFonts w:ascii="Arial" w:hAnsi="Arial" w:eastAsia="Arial"/>
                <w:color w:val="111827"/>
                <w:sz w:val="19"/>
              </w:rPr>
              <w:t xml:space="preserve">into existing SWM handling.</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Regression tests</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Existing agent, core, and publisher tests remain the baseline for agent-only recipients, verified ownership, fail-closed private graphs, encrypted raw bytes, allowed decrypt, unauthorized no-store, and public compatibility.</w:t>
            </w:r>
          </w:p>
        </w:tc>
      </w:tr>
    </w:tbl>
    <w:bookmarkEnd w:id="15"/>
    <w:bookmarkStart w:id="16" w:name="follow-up-boundary"/>
    <w:p>
      <w:pPr>
        <w:pStyle w:val="Heading3"/>
        <w:keepNext/>
      </w:pPr>
      <w:r>
        <w:rPr>
          <w:rFonts w:ascii="Arial" w:hAnsi="Arial" w:eastAsia="Arial"/>
          <w:b/>
          <w:i w:val="0"/>
          <w:color w:val="0B4F63"/>
          <w:sz w:val="24"/>
        </w:rPr>
        <w:t xml:space="preserve">Follow-Up Boundary</w:t>
      </w:r>
    </w:p>
    <w:tbl>
      <w:tblPr>
        <w:tblStyle w:val="Table"/>
        <w:tblW w:type="dxa" w:w="9840"/>
        <w:jc w:val="center"/>
        <w:tblLayout w:type="fixed"/>
        <w:tblLook w:firstRow="1" w:lastRow="0" w:firstColumn="0" w:lastColumn="0" w:noHBand="0" w:noVBand="0" w:val="0020"/>
        <w:tblInd w:type="dxa" w:w="0"/>
        <w:tblBorders>
          <w:top w:val="single" w:sz="6" w:space="0" w:color="C9DCE2"/>
          <w:left w:val="single" w:sz="6" w:space="0" w:color="C9DCE2"/>
          <w:bottom w:val="single" w:sz="6" w:space="0" w:color="C9DCE2"/>
          <w:right w:val="single" w:sz="6" w:space="0" w:color="C9DCE2"/>
          <w:insideH w:val="single" w:sz="6" w:space="0" w:color="C9DCE2"/>
          <w:insideV w:val="single" w:sz="6" w:space="0" w:color="C9DCE2"/>
        </w:tblBorders>
      </w:tblPr>
      <w:tblGrid>
        <w:gridCol w:w="3960"/>
        <w:gridCol w:w="3960"/>
      </w:tblGrid>
      <w:tr>
        <w:trPr>
          <w:tblHeader w:val="true"/>
          <w:cantSplit w:val="true"/>
        </w:trPr>
        <w:tc>
          <w:tcPr>
            <w:tcW w:type="dxa" w:w="4100"/>
            <w:tcMar>
              <w:top w:w="95" w:type="dxa"/>
              <w:start w:w="120" w:type="dxa"/>
              <w:bottom w:w="95" w:type="dxa"/>
              <w:end w:w="120" w:type="dxa"/>
            </w:tcMar>
            <w:vAlign w:val="center"/>
            <w:shd w:fill="E7F3F6"/>
          </w:tcPr>
          <w:p>
            <w:pPr>
              <w:pStyle w:val="Compact"/>
              <w:spacing w:before="0" w:after="0" w:line="250" w:lineRule="auto"/>
            </w:pPr>
            <w:r>
              <w:rPr>
                <w:rFonts w:ascii="Arial" w:hAnsi="Arial" w:eastAsia="Arial"/>
                <w:b/>
                <w:color w:val="0B4F63"/>
                <w:sz w:val="19"/>
              </w:rPr>
              <w:t xml:space="preserve">Keep from Phase 0</w:t>
            </w:r>
          </w:p>
        </w:tc>
        <w:tc>
          <w:tcPr>
            <w:tcW w:type="dxa" w:w="5740"/>
            <w:tcMar>
              <w:top w:w="95" w:type="dxa"/>
              <w:start w:w="120" w:type="dxa"/>
              <w:bottom w:w="95" w:type="dxa"/>
              <w:end w:w="120" w:type="dxa"/>
            </w:tcMar>
            <w:vAlign w:val="center"/>
            <w:shd w:fill="E7F3F6"/>
          </w:tcPr>
          <w:p>
            <w:pPr>
              <w:pStyle w:val="Compact"/>
              <w:spacing w:before="0" w:after="0" w:line="250" w:lineRule="auto"/>
            </w:pPr>
            <w:r>
              <w:rPr>
                <w:rFonts w:ascii="Arial" w:hAnsi="Arial" w:eastAsia="Arial"/>
                <w:b/>
                <w:color w:val="0B4F63"/>
                <w:sz w:val="19"/>
              </w:rPr>
              <w:t xml:space="preserve">Change in Sender Key follow-up</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DKG agent X25519 recipient keys remain the only encryption-recipient model.</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Use those keys to distribute Sender Key setup packages once per sender epoch.</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Existing recipient resolver remains the source of allowed recipient key IDs.</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Use the resolver output to compute the Sender Key epoch membership hash.</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Existing AAD/context binding remains the pattern.</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Bind Sender Key setup packages and fanout messages to context graph, subgraph, sender, epoch, membership hash, and message index.</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Existing receive gates remain in force after decryption.</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Decrypt with receiver Sender Key state before handing plaintext to the existing SWM handler.</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Existing encrypted-envelope path remains a valid Phase 0 design.</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Replace per-message CEK wrapping for the Sender Key path with ratcheted one-ciphertext fanout.</w:t>
            </w:r>
          </w:p>
        </w:tc>
      </w:tr>
    </w:tbl>
    <w:bookmarkEnd w:id="16"/>
    <w:bookmarkEnd w:id="17"/>
    <w:bookmarkStart w:id="20" w:name="target-sender-key-model"/>
    <w:p>
      <w:pPr>
        <w:pStyle w:val="Heading2"/>
        <w:keepNext/>
      </w:pPr>
      <w:r>
        <w:rPr>
          <w:rFonts w:ascii="Arial" w:hAnsi="Arial" w:eastAsia="Arial"/>
          <w:b/>
          <w:i w:val="0"/>
          <w:color w:val="0B4F63"/>
          <w:sz w:val="29"/>
        </w:rPr>
        <w:t xml:space="preserve">Target Sender Key Model</w:t>
      </w:r>
    </w:p>
    <w:p>
      <w:pPr>
        <w:pStyle w:val="FirstParagraph"/>
      </w:pPr>
      <w:r>
        <w:rPr>
          <w:rFonts w:ascii="Arial" w:hAnsi="Arial" w:eastAsia="Arial"/>
          <w:color w:val="111827"/>
          <w:sz w:val="21"/>
        </w:rPr>
        <w:t xml:space="preserve">Use one Sender Key state per scope:</w:t>
      </w:r>
    </w:p>
    <w:tbl>
      <w:tblPr>
        <w:tblStyle w:val="Table"/>
        <w:tblW w:type="dxa" w:w="9840"/>
        <w:jc w:val="center"/>
        <w:tblLayout w:type="fixed"/>
        <w:tblLook w:firstRow="1" w:lastRow="0" w:firstColumn="0" w:lastColumn="0" w:noHBand="0" w:noVBand="0" w:val="0020"/>
        <w:tblInd w:type="dxa" w:w="0"/>
        <w:tblBorders>
          <w:top w:val="single" w:sz="6" w:space="0" w:color="C9DCE2"/>
          <w:left w:val="single" w:sz="6" w:space="0" w:color="C9DCE2"/>
          <w:bottom w:val="single" w:sz="6" w:space="0" w:color="C9DCE2"/>
          <w:right w:val="single" w:sz="6" w:space="0" w:color="C9DCE2"/>
          <w:insideH w:val="single" w:sz="6" w:space="0" w:color="C9DCE2"/>
          <w:insideV w:val="single" w:sz="6" w:space="0" w:color="C9DCE2"/>
        </w:tblBorders>
      </w:tblPr>
      <w:tblGrid>
        <w:gridCol w:w="3960"/>
        <w:gridCol w:w="3960"/>
      </w:tblGrid>
      <w:tr>
        <w:trPr>
          <w:tblHeader w:val="true"/>
          <w:cantSplit w:val="true"/>
        </w:trPr>
        <w:tc>
          <w:tcPr>
            <w:tcW w:type="dxa" w:w="4100"/>
            <w:tcMar>
              <w:top w:w="95" w:type="dxa"/>
              <w:start w:w="120" w:type="dxa"/>
              <w:bottom w:w="95" w:type="dxa"/>
              <w:end w:w="120" w:type="dxa"/>
            </w:tcMar>
            <w:vAlign w:val="center"/>
            <w:shd w:fill="E7F3F6"/>
          </w:tcPr>
          <w:p>
            <w:pPr>
              <w:pStyle w:val="Compact"/>
              <w:spacing w:before="0" w:after="0" w:line="250" w:lineRule="auto"/>
            </w:pPr>
            <w:r>
              <w:rPr>
                <w:rFonts w:ascii="Arial" w:hAnsi="Arial" w:eastAsia="Arial"/>
                <w:b/>
                <w:color w:val="0B4F63"/>
                <w:sz w:val="19"/>
              </w:rPr>
              <w:t xml:space="preserve">Scope field</w:t>
            </w:r>
          </w:p>
        </w:tc>
        <w:tc>
          <w:tcPr>
            <w:tcW w:type="dxa" w:w="5740"/>
            <w:tcMar>
              <w:top w:w="95" w:type="dxa"/>
              <w:start w:w="120" w:type="dxa"/>
              <w:bottom w:w="95" w:type="dxa"/>
              <w:end w:w="120" w:type="dxa"/>
            </w:tcMar>
            <w:vAlign w:val="center"/>
            <w:shd w:fill="E7F3F6"/>
          </w:tcPr>
          <w:p>
            <w:pPr>
              <w:pStyle w:val="Compact"/>
              <w:spacing w:before="0" w:after="0" w:line="250" w:lineRule="auto"/>
            </w:pPr>
            <w:r>
              <w:rPr>
                <w:rFonts w:ascii="Arial" w:hAnsi="Arial" w:eastAsia="Arial"/>
                <w:b/>
                <w:color w:val="0B4F63"/>
                <w:sz w:val="19"/>
              </w:rPr>
              <w:t xml:space="preserve">Meaning</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contextGraphId</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Context graph whose SWM payloads are protected.</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subGraphName</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Optional SWM subgraph name, when the write is subgraph-scoped.</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senderAgentAddress</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DKG agent that owns this sender chain.</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epochId</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Membership/key epoch for this sender chain.</w:t>
            </w:r>
          </w:p>
        </w:tc>
      </w:tr>
    </w:tbl>
    <w:p>
      <w:pPr>
        <w:pStyle w:val="BodyText"/>
      </w:pPr>
      <w:r>
        <w:rPr>
          <w:rFonts w:ascii="Arial" w:hAnsi="Arial" w:eastAsia="Arial"/>
          <w:color w:val="111827"/>
          <w:sz w:val="21"/>
        </w:rPr>
        <w:t xml:space="preserve">Every writer has its own sender chain. There is no single shared group private key. If three allowed agents write to the same private graph, each of those agents has its own Sender Key epoch and distributes its own setup package before its first encrypted broadcast in that epoch.</w:t>
      </w:r>
    </w:p>
    <w:bookmarkStart w:id="18" w:name="epoch-inputs"/>
    <w:p>
      <w:pPr>
        <w:pStyle w:val="Heading3"/>
        <w:keepNext/>
      </w:pPr>
      <w:r>
        <w:rPr>
          <w:rFonts w:ascii="Arial" w:hAnsi="Arial" w:eastAsia="Arial"/>
          <w:b/>
          <w:i w:val="0"/>
          <w:color w:val="0B4F63"/>
          <w:sz w:val="24"/>
        </w:rPr>
        <w:t xml:space="preserve">Epoch Inputs</w:t>
      </w:r>
    </w:p>
    <w:p>
      <w:pPr>
        <w:pStyle w:val="FirstParagraph"/>
      </w:pPr>
      <w:r>
        <w:rPr>
          <w:rFonts w:ascii="Arial" w:hAnsi="Arial" w:eastAsia="Arial"/>
          <w:color w:val="111827"/>
          <w:sz w:val="21"/>
        </w:rPr>
        <w:t xml:space="preserve">An epoch is bound to:</w:t>
      </w:r>
    </w:p>
    <w:tbl>
      <w:tblPr>
        <w:tblStyle w:val="Table"/>
        <w:tblW w:type="dxa" w:w="9840"/>
        <w:jc w:val="center"/>
        <w:tblLayout w:type="fixed"/>
        <w:tblLook w:firstRow="1" w:lastRow="0" w:firstColumn="0" w:lastColumn="0" w:noHBand="0" w:noVBand="0" w:val="0020"/>
        <w:tblInd w:type="dxa" w:w="0"/>
        <w:tblBorders>
          <w:top w:val="single" w:sz="6" w:space="0" w:color="C9DCE2"/>
          <w:left w:val="single" w:sz="6" w:space="0" w:color="C9DCE2"/>
          <w:bottom w:val="single" w:sz="6" w:space="0" w:color="C9DCE2"/>
          <w:right w:val="single" w:sz="6" w:space="0" w:color="C9DCE2"/>
          <w:insideH w:val="single" w:sz="6" w:space="0" w:color="C9DCE2"/>
          <w:insideV w:val="single" w:sz="6" w:space="0" w:color="C9DCE2"/>
        </w:tblBorders>
      </w:tblPr>
      <w:tblGrid>
        <w:gridCol w:w="3960"/>
        <w:gridCol w:w="3960"/>
      </w:tblGrid>
      <w:tr>
        <w:trPr>
          <w:tblHeader w:val="true"/>
          <w:cantSplit w:val="true"/>
        </w:trPr>
        <w:tc>
          <w:tcPr>
            <w:tcW w:type="dxa" w:w="4100"/>
            <w:tcMar>
              <w:top w:w="95" w:type="dxa"/>
              <w:start w:w="120" w:type="dxa"/>
              <w:bottom w:w="95" w:type="dxa"/>
              <w:end w:w="120" w:type="dxa"/>
            </w:tcMar>
            <w:vAlign w:val="center"/>
            <w:shd w:fill="E7F3F6"/>
          </w:tcPr>
          <w:p>
            <w:pPr>
              <w:pStyle w:val="Compact"/>
              <w:spacing w:before="0" w:after="0" w:line="250" w:lineRule="auto"/>
            </w:pPr>
            <w:r>
              <w:rPr>
                <w:rFonts w:ascii="Arial" w:hAnsi="Arial" w:eastAsia="Arial"/>
                <w:b/>
                <w:color w:val="0B4F63"/>
                <w:sz w:val="19"/>
              </w:rPr>
              <w:t xml:space="preserve">Input</w:t>
            </w:r>
          </w:p>
        </w:tc>
        <w:tc>
          <w:tcPr>
            <w:tcW w:type="dxa" w:w="5740"/>
            <w:tcMar>
              <w:top w:w="95" w:type="dxa"/>
              <w:start w:w="120" w:type="dxa"/>
              <w:bottom w:w="95" w:type="dxa"/>
              <w:end w:w="120" w:type="dxa"/>
            </w:tcMar>
            <w:vAlign w:val="center"/>
            <w:shd w:fill="E7F3F6"/>
          </w:tcPr>
          <w:p>
            <w:pPr>
              <w:pStyle w:val="Compact"/>
              <w:spacing w:before="0" w:after="0" w:line="250" w:lineRule="auto"/>
            </w:pPr>
            <w:r>
              <w:rPr>
                <w:rFonts w:ascii="Arial" w:hAnsi="Arial" w:eastAsia="Arial"/>
                <w:b/>
                <w:color w:val="0B4F63"/>
                <w:sz w:val="19"/>
              </w:rPr>
              <w:t xml:space="preserve">Why it is bound into the epoch</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contextGraphId</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Prevents using the sender key outside the context graph.</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subGraphName</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Prevents cross-subgraph reuse when the write is subgraph-scoped.</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Allowed DKG agent addresses</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Defines the intended member set from</w:t>
            </w:r>
            <w:r>
              <w:rPr>
                <w:rFonts w:ascii="Arial" w:hAnsi="Arial" w:eastAsia="Arial"/>
                <w:color w:val="111827"/>
                <w:sz w:val="19"/>
              </w:rPr>
              <w:t xml:space="preserve"> </w:t>
            </w:r>
            <w:r>
              <w:rPr>
                <w:rStyle w:val="VerbatimChar"/>
                <w:rFonts w:ascii="Arial" w:hAnsi="Arial" w:eastAsia="Arial"/>
                <w:color w:val="111827"/>
                <w:sz w:val="19"/>
              </w:rPr>
              <w:t xml:space="preserve">DKG_ALLOWED_AGENT</w:t>
            </w:r>
            <w:r>
              <w:rPr>
                <w:rFonts w:ascii="Arial" w:hAnsi="Arial" w:eastAsia="Arial"/>
                <w:color w:val="111827"/>
                <w:sz w:val="19"/>
              </w:rPr>
              <w:t xml:space="preserve"> </w:t>
            </w:r>
            <w:r>
              <w:rPr>
                <w:rFonts w:ascii="Arial" w:hAnsi="Arial" w:eastAsia="Arial"/>
                <w:color w:val="111827"/>
                <w:sz w:val="19"/>
              </w:rPr>
              <w:t xml:space="preserve">and</w:t>
            </w:r>
            <w:r>
              <w:rPr>
                <w:rFonts w:ascii="Arial" w:hAnsi="Arial" w:eastAsia="Arial"/>
                <w:color w:val="111827"/>
                <w:sz w:val="19"/>
              </w:rPr>
              <w:t xml:space="preserve"> </w:t>
            </w:r>
            <w:r>
              <w:rPr>
                <w:rStyle w:val="VerbatimChar"/>
                <w:rFonts w:ascii="Arial" w:hAnsi="Arial" w:eastAsia="Arial"/>
                <w:color w:val="111827"/>
                <w:sz w:val="19"/>
              </w:rPr>
              <w:t xml:space="preserve">DKG_PARTICIPANT_AGENT</w:t>
            </w:r>
            <w:r>
              <w:rPr>
                <w:rFonts w:ascii="Arial" w:hAnsi="Arial" w:eastAsia="Arial"/>
                <w:color w:val="111827"/>
                <w:sz w:val="19"/>
              </w:rPr>
              <w:t xml:space="preserve">.</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Verified recipient key IDs</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Binds encryption to the exact DKG agent keys used during setup.</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Sender agent address</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Identifies the DKG agent that owns this sender chain.</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Sender epoch public signing key</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Lets receivers verify future fanout messages from this epoch.</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Created timestamp</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Makes the epoch auditable and freshness-checkable.</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Membership hash</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Gives every participant one compact value to compare before accepting messages.</w:t>
            </w:r>
          </w:p>
        </w:tc>
      </w:tr>
    </w:tbl>
    <w:p>
      <w:pPr>
        <w:pStyle w:val="BodyText"/>
      </w:pPr>
      <w:r>
        <w:rPr>
          <w:rStyle w:val="VerbatimChar"/>
          <w:rFonts w:ascii="Arial" w:hAnsi="Arial" w:eastAsia="Arial"/>
          <w:color w:val="111827"/>
          <w:sz w:val="21"/>
        </w:rPr>
        <w:t xml:space="preserve">DKG_ALLOWED_PEER</w:t>
      </w:r>
      <w:r>
        <w:rPr>
          <w:rFonts w:ascii="Arial" w:hAnsi="Arial" w:eastAsia="Arial"/>
          <w:color w:val="111827"/>
          <w:sz w:val="21"/>
        </w:rPr>
        <w:t xml:space="preserve"> </w:t>
      </w:r>
      <w:r>
        <w:rPr>
          <w:rFonts w:ascii="Arial" w:hAnsi="Arial" w:eastAsia="Arial"/>
          <w:color w:val="111827"/>
          <w:sz w:val="21"/>
        </w:rPr>
        <w:t xml:space="preserve">is not an encryption-recipient input. Peer allowlists may still be used for transport/admission checks, but Sender Key recipients are DKG agents only.</w:t>
      </w:r>
    </w:p>
    <w:bookmarkEnd w:id="18"/>
    <w:bookmarkStart w:id="19" w:name="sender-key-state"/>
    <w:p>
      <w:pPr>
        <w:pStyle w:val="Heading3"/>
        <w:keepNext/>
      </w:pPr>
      <w:r>
        <w:rPr>
          <w:rFonts w:ascii="Arial" w:hAnsi="Arial" w:eastAsia="Arial"/>
          <w:b/>
          <w:i w:val="0"/>
          <w:color w:val="0B4F63"/>
          <w:sz w:val="24"/>
        </w:rPr>
        <w:t xml:space="preserve">Sender Key State</w:t>
      </w:r>
    </w:p>
    <w:p>
      <w:pPr>
        <w:pStyle w:val="FirstParagraph"/>
      </w:pPr>
      <w:r>
        <w:rPr>
          <w:rFonts w:ascii="Arial" w:hAnsi="Arial" w:eastAsia="Arial"/>
          <w:color w:val="111827"/>
          <w:sz w:val="21"/>
        </w:rPr>
        <w:t xml:space="preserve">Suggested local sender state:</w:t>
      </w:r>
    </w:p>
    <w:tbl>
      <w:tblPr>
        <w:tblStyle w:val="Table"/>
        <w:tblW w:type="dxa" w:w="9840"/>
        <w:jc w:val="center"/>
        <w:tblLayout w:type="fixed"/>
        <w:tblLook w:firstRow="1" w:lastRow="0" w:firstColumn="0" w:lastColumn="0" w:noHBand="0" w:noVBand="0" w:val="0020"/>
        <w:tblInd w:type="dxa" w:w="0"/>
        <w:tblBorders>
          <w:top w:val="single" w:sz="6" w:space="0" w:color="C9DCE2"/>
          <w:left w:val="single" w:sz="6" w:space="0" w:color="C9DCE2"/>
          <w:bottom w:val="single" w:sz="6" w:space="0" w:color="C9DCE2"/>
          <w:right w:val="single" w:sz="6" w:space="0" w:color="C9DCE2"/>
          <w:insideH w:val="single" w:sz="6" w:space="0" w:color="C9DCE2"/>
          <w:insideV w:val="single" w:sz="6" w:space="0" w:color="C9DCE2"/>
        </w:tblBorders>
      </w:tblPr>
      <w:tblGrid>
        <w:gridCol w:w="3960"/>
        <w:gridCol w:w="3960"/>
      </w:tblGrid>
      <w:tr>
        <w:trPr>
          <w:tblHeader w:val="true"/>
          <w:cantSplit w:val="true"/>
        </w:trPr>
        <w:tc>
          <w:tcPr>
            <w:tcW w:type="dxa" w:w="4100"/>
            <w:tcMar>
              <w:top w:w="95" w:type="dxa"/>
              <w:start w:w="120" w:type="dxa"/>
              <w:bottom w:w="95" w:type="dxa"/>
              <w:end w:w="120" w:type="dxa"/>
            </w:tcMar>
            <w:vAlign w:val="center"/>
            <w:shd w:fill="E7F3F6"/>
          </w:tcPr>
          <w:p>
            <w:pPr>
              <w:pStyle w:val="Compact"/>
              <w:spacing w:before="0" w:after="0" w:line="250" w:lineRule="auto"/>
            </w:pPr>
            <w:r>
              <w:rPr>
                <w:rFonts w:ascii="Arial" w:hAnsi="Arial" w:eastAsia="Arial"/>
                <w:b/>
                <w:color w:val="0B4F63"/>
                <w:sz w:val="19"/>
              </w:rPr>
              <w:t xml:space="preserve">Field</w:t>
            </w:r>
          </w:p>
        </w:tc>
        <w:tc>
          <w:tcPr>
            <w:tcW w:type="dxa" w:w="5740"/>
            <w:tcMar>
              <w:top w:w="95" w:type="dxa"/>
              <w:start w:w="120" w:type="dxa"/>
              <w:bottom w:w="95" w:type="dxa"/>
              <w:end w:w="120" w:type="dxa"/>
            </w:tcMar>
            <w:vAlign w:val="center"/>
            <w:shd w:fill="E7F3F6"/>
          </w:tcPr>
          <w:p>
            <w:pPr>
              <w:pStyle w:val="Compact"/>
              <w:spacing w:before="0" w:after="0" w:line="250" w:lineRule="auto"/>
            </w:pPr>
            <w:r>
              <w:rPr>
                <w:rFonts w:ascii="Arial" w:hAnsi="Arial" w:eastAsia="Arial"/>
                <w:b/>
                <w:color w:val="0B4F63"/>
                <w:sz w:val="19"/>
              </w:rPr>
              <w:t xml:space="preserve">Purpose</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contextGraphId</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Context graph bound to this state.</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subGraphName</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Optional SWM subgraph binding.</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senderAgentAddress</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Local DKG agent that owns the sender chain.</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epochId</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Current epoch identifier.</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membershipHash</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Hash of allowed DKG agents and verified recipient key IDs.</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chainKey</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Secret ratchet state for deriving message keys.</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messageIndex</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Next message number to send.</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senderSigningPrivateKey</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Epoch signing key used to sign sender-key messages.</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senderSigningPublicKey</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Public key distributed to receivers in setup packages.</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createdAt</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Epoch creation timestamp.</w:t>
            </w:r>
          </w:p>
        </w:tc>
      </w:tr>
    </w:tbl>
    <w:p>
      <w:pPr>
        <w:pStyle w:val="BodyText"/>
      </w:pPr>
      <w:r>
        <w:rPr>
          <w:rFonts w:ascii="Arial" w:hAnsi="Arial" w:eastAsia="Arial"/>
          <w:color w:val="111827"/>
          <w:sz w:val="21"/>
        </w:rPr>
        <w:t xml:space="preserve">Suggested receiver state:</w:t>
      </w:r>
    </w:p>
    <w:tbl>
      <w:tblPr>
        <w:tblStyle w:val="Table"/>
        <w:tblW w:type="dxa" w:w="9840"/>
        <w:jc w:val="center"/>
        <w:tblLayout w:type="fixed"/>
        <w:tblLook w:firstRow="1" w:lastRow="0" w:firstColumn="0" w:lastColumn="0" w:noHBand="0" w:noVBand="0" w:val="0020"/>
        <w:tblInd w:type="dxa" w:w="0"/>
        <w:tblBorders>
          <w:top w:val="single" w:sz="6" w:space="0" w:color="C9DCE2"/>
          <w:left w:val="single" w:sz="6" w:space="0" w:color="C9DCE2"/>
          <w:bottom w:val="single" w:sz="6" w:space="0" w:color="C9DCE2"/>
          <w:right w:val="single" w:sz="6" w:space="0" w:color="C9DCE2"/>
          <w:insideH w:val="single" w:sz="6" w:space="0" w:color="C9DCE2"/>
          <w:insideV w:val="single" w:sz="6" w:space="0" w:color="C9DCE2"/>
        </w:tblBorders>
      </w:tblPr>
      <w:tblGrid>
        <w:gridCol w:w="3960"/>
        <w:gridCol w:w="3960"/>
      </w:tblGrid>
      <w:tr>
        <w:trPr>
          <w:tblHeader w:val="true"/>
          <w:cantSplit w:val="true"/>
        </w:trPr>
        <w:tc>
          <w:tcPr>
            <w:tcW w:type="dxa" w:w="4100"/>
            <w:tcMar>
              <w:top w:w="95" w:type="dxa"/>
              <w:start w:w="120" w:type="dxa"/>
              <w:bottom w:w="95" w:type="dxa"/>
              <w:end w:w="120" w:type="dxa"/>
            </w:tcMar>
            <w:vAlign w:val="center"/>
            <w:shd w:fill="E7F3F6"/>
          </w:tcPr>
          <w:p>
            <w:pPr>
              <w:pStyle w:val="Compact"/>
              <w:spacing w:before="0" w:after="0" w:line="250" w:lineRule="auto"/>
            </w:pPr>
            <w:r>
              <w:rPr>
                <w:rFonts w:ascii="Arial" w:hAnsi="Arial" w:eastAsia="Arial"/>
                <w:b/>
                <w:color w:val="0B4F63"/>
                <w:sz w:val="19"/>
              </w:rPr>
              <w:t xml:space="preserve">Field</w:t>
            </w:r>
          </w:p>
        </w:tc>
        <w:tc>
          <w:tcPr>
            <w:tcW w:type="dxa" w:w="5740"/>
            <w:tcMar>
              <w:top w:w="95" w:type="dxa"/>
              <w:start w:w="120" w:type="dxa"/>
              <w:bottom w:w="95" w:type="dxa"/>
              <w:end w:w="120" w:type="dxa"/>
            </w:tcMar>
            <w:vAlign w:val="center"/>
            <w:shd w:fill="E7F3F6"/>
          </w:tcPr>
          <w:p>
            <w:pPr>
              <w:pStyle w:val="Compact"/>
              <w:spacing w:before="0" w:after="0" w:line="250" w:lineRule="auto"/>
            </w:pPr>
            <w:r>
              <w:rPr>
                <w:rFonts w:ascii="Arial" w:hAnsi="Arial" w:eastAsia="Arial"/>
                <w:b/>
                <w:color w:val="0B4F63"/>
                <w:sz w:val="19"/>
              </w:rPr>
              <w:t xml:space="preserve">Purpose</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contextGraphId</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Context graph bound to this receiver state.</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subGraphName</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Optional SWM subgraph binding.</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senderAgentAddress</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Remote DKG agent whose sender chain is being tracked.</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epochId</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Remote sender epoch identifier.</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membershipHash</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Membership hash accepted for this epoch.</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chainKey</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Receiver copy of the secret ratchet state.</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nextMessageIndex</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Next expected message number from this sender.</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senderSigningPublicKey</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Epoch public key used to verify sender-key messages.</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createdAt</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Epoch setup timestamp.</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skippedMessageKeys[]</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Bounded cache for out-of-order GossipSub delivery.</w:t>
            </w:r>
          </w:p>
        </w:tc>
      </w:tr>
    </w:tbl>
    <w:p>
      <w:pPr>
        <w:pStyle w:val="BodyText"/>
      </w:pPr>
      <w:r>
        <w:rPr>
          <w:rFonts w:ascii="Arial" w:hAnsi="Arial" w:eastAsia="Arial"/>
          <w:color w:val="111827"/>
          <w:sz w:val="21"/>
        </w:rPr>
        <w:t xml:space="preserve">Receiver state is keyed by sender, because each sender ratchets independently.</w:t>
      </w:r>
    </w:p>
    <w:bookmarkEnd w:id="19"/>
    <w:bookmarkEnd w:id="20"/>
    <w:bookmarkStart w:id="24" w:name="setup-flow"/>
    <w:p>
      <w:pPr>
        <w:pStyle w:val="Heading2"/>
        <w:keepNext/>
      </w:pPr>
      <w:r>
        <w:rPr>
          <w:rFonts w:ascii="Arial" w:hAnsi="Arial" w:eastAsia="Arial"/>
          <w:b/>
          <w:i w:val="0"/>
          <w:color w:val="0B4F63"/>
          <w:sz w:val="29"/>
        </w:rPr>
        <w:t xml:space="preserve">Setup Flow</w:t>
      </w:r>
    </w:p>
    <w:p>
      <w:pPr>
        <w:pStyle w:val="FirstParagraph"/>
      </w:pPr>
      <w:r>
        <w:rPr>
          <w:rFonts w:ascii="Arial" w:hAnsi="Arial" w:eastAsia="Arial"/>
          <w:color w:val="111827"/>
          <w:sz w:val="21"/>
        </w:rPr>
        <w:t xml:space="preserve">The sender creates a Sender Key package and delivers it individually to every allowed agent. The direct connection may already be Noise-encrypted by libp2p, but the setup package should still be encrypted to the recipient DKG agent’s X25519 key. Noise authenticates and encrypts the transport connection between libp2p peers; the SWM authorization model is agent-based.</w:t>
      </w:r>
    </w:p>
    <w:p>
      <w:pPr>
        <w:pStyle w:val="CaptionedFigure"/>
        <w:spacing w:after="80" w:before="160"/>
        <w:jc w:val="center"/>
      </w:pPr>
      <w:r>
        <w:drawing>
          <wp:inline>
            <wp:extent cx="5334000" cy="3076112"/>
            <wp:effectExtent b="0" l="0" r="0" t="0"/>
            <wp:docPr descr="Setup flow rendered sequence diagram" title="" id="22" name="Picture"/>
            <a:graphic>
              <a:graphicData uri="http://schemas.openxmlformats.org/drawingml/2006/picture">
                <pic:pic>
                  <pic:nvPicPr>
                    <pic:cNvPr descr="/private/tmp/swm-sender-key-doc-build/diagrams/swm-sender-key-1.png" id="23" name="Picture"/>
                    <pic:cNvPicPr>
                      <a:picLocks noChangeArrowheads="1" noChangeAspect="1"/>
                    </pic:cNvPicPr>
                  </pic:nvPicPr>
                  <pic:blipFill>
                    <a:blip r:embed="rId21"/>
                    <a:stretch>
                      <a:fillRect/>
                    </a:stretch>
                  </pic:blipFill>
                  <pic:spPr bwMode="auto">
                    <a:xfrm>
                      <a:off x="0" y="0"/>
                      <a:ext cx="5334000" cy="3076112"/>
                    </a:xfrm>
                    <a:prstGeom prst="rect">
                      <a:avLst/>
                    </a:prstGeom>
                    <a:noFill/>
                    <a:ln w="9525">
                      <a:noFill/>
                      <a:headEnd/>
                      <a:tailEnd/>
                    </a:ln>
                  </pic:spPr>
                </pic:pic>
              </a:graphicData>
            </a:graphic>
          </wp:inline>
        </w:drawing>
      </w:r>
    </w:p>
    <w:p>
      <w:pPr>
        <w:pStyle w:val="ImageCaption"/>
        <w:spacing w:before="60" w:after="200"/>
        <w:jc w:val="center"/>
      </w:pPr>
      <w:r>
        <w:rPr>
          <w:rFonts w:ascii="Arial" w:hAnsi="Arial" w:eastAsia="Arial"/>
          <w:b w:val="0"/>
          <w:i/>
          <w:color w:val="4B5563"/>
          <w:sz w:val="18"/>
        </w:rPr>
        <w:t xml:space="preserve">Setup flow rendered sequence diagram</w:t>
      </w:r>
    </w:p>
    <w:p>
      <w:pPr>
        <w:pStyle w:val="BodyText"/>
      </w:pPr>
      <w:r>
        <w:rPr>
          <w:rFonts w:ascii="Arial" w:hAnsi="Arial" w:eastAsia="Arial"/>
          <w:color w:val="111827"/>
          <w:sz w:val="21"/>
        </w:rPr>
        <w:t xml:space="preserve">The package should be signed or otherwise bound to the sender agent identity. A receiver must reject setup packages that are not signed by an agent allowed to write to the graph.</w:t>
      </w:r>
    </w:p>
    <w:p>
      <w:pPr>
        <w:pStyle w:val="BodyText"/>
      </w:pPr>
      <w:r>
        <w:rPr>
          <w:rFonts w:ascii="Arial" w:hAnsi="Arial" w:eastAsia="Arial"/>
          <w:color w:val="111827"/>
          <w:sz w:val="21"/>
        </w:rPr>
        <w:t xml:space="preserve">Suggested setup envelope:</w:t>
      </w:r>
    </w:p>
    <w:tbl>
      <w:tblPr>
        <w:tblStyle w:val="Table"/>
        <w:tblW w:type="dxa" w:w="9840"/>
        <w:jc w:val="center"/>
        <w:tblLayout w:type="fixed"/>
        <w:tblLook w:firstRow="1" w:lastRow="0" w:firstColumn="0" w:lastColumn="0" w:noHBand="0" w:noVBand="0" w:val="0020"/>
        <w:tblInd w:type="dxa" w:w="0"/>
        <w:tblBorders>
          <w:top w:val="single" w:sz="6" w:space="0" w:color="C9DCE2"/>
          <w:left w:val="single" w:sz="6" w:space="0" w:color="C9DCE2"/>
          <w:bottom w:val="single" w:sz="6" w:space="0" w:color="C9DCE2"/>
          <w:right w:val="single" w:sz="6" w:space="0" w:color="C9DCE2"/>
          <w:insideH w:val="single" w:sz="6" w:space="0" w:color="C9DCE2"/>
          <w:insideV w:val="single" w:sz="6" w:space="0" w:color="C9DCE2"/>
        </w:tblBorders>
      </w:tblPr>
      <w:tblGrid>
        <w:gridCol w:w="3960"/>
        <w:gridCol w:w="3960"/>
      </w:tblGrid>
      <w:tr>
        <w:trPr>
          <w:tblHeader w:val="true"/>
          <w:cantSplit w:val="true"/>
        </w:trPr>
        <w:tc>
          <w:tcPr>
            <w:tcW w:type="dxa" w:w="4100"/>
            <w:tcMar>
              <w:top w:w="95" w:type="dxa"/>
              <w:start w:w="120" w:type="dxa"/>
              <w:bottom w:w="95" w:type="dxa"/>
              <w:end w:w="120" w:type="dxa"/>
            </w:tcMar>
            <w:vAlign w:val="center"/>
            <w:shd w:fill="E7F3F6"/>
          </w:tcPr>
          <w:p>
            <w:pPr>
              <w:pStyle w:val="Compact"/>
              <w:spacing w:before="0" w:after="0" w:line="250" w:lineRule="auto"/>
            </w:pPr>
            <w:r>
              <w:rPr>
                <w:rFonts w:ascii="Arial" w:hAnsi="Arial" w:eastAsia="Arial"/>
                <w:b/>
                <w:color w:val="0B4F63"/>
                <w:sz w:val="19"/>
              </w:rPr>
              <w:t xml:space="preserve">Field</w:t>
            </w:r>
          </w:p>
        </w:tc>
        <w:tc>
          <w:tcPr>
            <w:tcW w:type="dxa" w:w="5740"/>
            <w:tcMar>
              <w:top w:w="95" w:type="dxa"/>
              <w:start w:w="120" w:type="dxa"/>
              <w:bottom w:w="95" w:type="dxa"/>
              <w:end w:w="120" w:type="dxa"/>
            </w:tcMar>
            <w:vAlign w:val="center"/>
            <w:shd w:fill="E7F3F6"/>
          </w:tcPr>
          <w:p>
            <w:pPr>
              <w:pStyle w:val="Compact"/>
              <w:spacing w:before="0" w:after="0" w:line="250" w:lineRule="auto"/>
            </w:pPr>
            <w:r>
              <w:rPr>
                <w:rFonts w:ascii="Arial" w:hAnsi="Arial" w:eastAsia="Arial"/>
                <w:b/>
                <w:color w:val="0B4F63"/>
                <w:sz w:val="19"/>
              </w:rPr>
              <w:t xml:space="preserve">Purpose</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version</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Sender Key package schema version.</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type</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Constant:</w:t>
            </w:r>
            <w:r>
              <w:rPr>
                <w:rFonts w:ascii="Arial" w:hAnsi="Arial" w:eastAsia="Arial"/>
                <w:color w:val="111827"/>
                <w:sz w:val="19"/>
              </w:rPr>
              <w:t xml:space="preserve"> </w:t>
            </w:r>
            <w:r>
              <w:rPr>
                <w:rStyle w:val="VerbatimChar"/>
                <w:rFonts w:ascii="Arial" w:hAnsi="Arial" w:eastAsia="Arial"/>
                <w:color w:val="111827"/>
                <w:sz w:val="19"/>
              </w:rPr>
              <w:t xml:space="preserve">swm.sender-key.package</w:t>
            </w:r>
            <w:r>
              <w:rPr>
                <w:rFonts w:ascii="Arial" w:hAnsi="Arial" w:eastAsia="Arial"/>
                <w:color w:val="111827"/>
                <w:sz w:val="19"/>
              </w:rPr>
              <w:t xml:space="preserve">.</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contextGraphId</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Context graph this package belongs to.</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subGraphName</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Optional SWM subgraph binding.</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senderAgentAddress</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DKG agent distributing the sender chain.</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epochId</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New sender epoch being installed.</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membershipHash</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Hash of allowed agent addresses and recipient key IDs.</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senderSigningPublicKey</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Epoch public key receivers use for message verification.</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initialMessageIndex</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First message index for this epoch.</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chainKeyCiphertext</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Encrypted setup secret for this recipient.</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recipientAgentAddress</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DKG agent receiving this setup package.</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recipientKeyId</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Recipient X25519 key ID used for encryption.</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createdAt</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Setup package timestamp.</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signatureBySenderAgent</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Agent identity signature over the package metadata.</w:t>
            </w:r>
          </w:p>
        </w:tc>
      </w:tr>
    </w:tbl>
    <w:p>
      <w:pPr>
        <w:pStyle w:val="BodyText"/>
      </w:pPr>
      <w:r>
        <w:rPr>
          <w:rFonts w:ascii="Arial" w:hAnsi="Arial" w:eastAsia="Arial"/>
          <w:color w:val="111827"/>
          <w:sz w:val="21"/>
        </w:rPr>
        <w:t xml:space="preserve">The encrypted package plaintext contains at least:</w:t>
      </w:r>
    </w:p>
    <w:tbl>
      <w:tblPr>
        <w:tblStyle w:val="Table"/>
        <w:tblW w:type="dxa" w:w="9840"/>
        <w:jc w:val="center"/>
        <w:tblLayout w:type="fixed"/>
        <w:tblLook w:firstRow="1" w:lastRow="0" w:firstColumn="0" w:lastColumn="0" w:noHBand="0" w:noVBand="0" w:val="0020"/>
        <w:tblInd w:type="dxa" w:w="0"/>
        <w:tblBorders>
          <w:top w:val="single" w:sz="6" w:space="0" w:color="C9DCE2"/>
          <w:left w:val="single" w:sz="6" w:space="0" w:color="C9DCE2"/>
          <w:bottom w:val="single" w:sz="6" w:space="0" w:color="C9DCE2"/>
          <w:right w:val="single" w:sz="6" w:space="0" w:color="C9DCE2"/>
          <w:insideH w:val="single" w:sz="6" w:space="0" w:color="C9DCE2"/>
          <w:insideV w:val="single" w:sz="6" w:space="0" w:color="C9DCE2"/>
        </w:tblBorders>
      </w:tblPr>
      <w:tblGrid>
        <w:gridCol w:w="3960"/>
        <w:gridCol w:w="3960"/>
      </w:tblGrid>
      <w:tr>
        <w:trPr>
          <w:tblHeader w:val="true"/>
          <w:cantSplit w:val="true"/>
        </w:trPr>
        <w:tc>
          <w:tcPr>
            <w:tcW w:type="dxa" w:w="4100"/>
            <w:tcMar>
              <w:top w:w="95" w:type="dxa"/>
              <w:start w:w="120" w:type="dxa"/>
              <w:bottom w:w="95" w:type="dxa"/>
              <w:end w:w="120" w:type="dxa"/>
            </w:tcMar>
            <w:vAlign w:val="center"/>
            <w:shd w:fill="E7F3F6"/>
          </w:tcPr>
          <w:p>
            <w:pPr>
              <w:pStyle w:val="Compact"/>
              <w:spacing w:before="0" w:after="0" w:line="250" w:lineRule="auto"/>
            </w:pPr>
            <w:r>
              <w:rPr>
                <w:rFonts w:ascii="Arial" w:hAnsi="Arial" w:eastAsia="Arial"/>
                <w:b/>
                <w:color w:val="0B4F63"/>
                <w:sz w:val="19"/>
              </w:rPr>
              <w:t xml:space="preserve">Field</w:t>
            </w:r>
          </w:p>
        </w:tc>
        <w:tc>
          <w:tcPr>
            <w:tcW w:type="dxa" w:w="5740"/>
            <w:tcMar>
              <w:top w:w="95" w:type="dxa"/>
              <w:start w:w="120" w:type="dxa"/>
              <w:bottom w:w="95" w:type="dxa"/>
              <w:end w:w="120" w:type="dxa"/>
            </w:tcMar>
            <w:vAlign w:val="center"/>
            <w:shd w:fill="E7F3F6"/>
          </w:tcPr>
          <w:p>
            <w:pPr>
              <w:pStyle w:val="Compact"/>
              <w:spacing w:before="0" w:after="0" w:line="250" w:lineRule="auto"/>
            </w:pPr>
            <w:r>
              <w:rPr>
                <w:rFonts w:ascii="Arial" w:hAnsi="Arial" w:eastAsia="Arial"/>
                <w:b/>
                <w:color w:val="0B4F63"/>
                <w:sz w:val="19"/>
              </w:rPr>
              <w:t xml:space="preserve">Why it is inside the encrypted package</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chainKey</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Secret ratchet state; only allowed recipients should learn it.</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epochId</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Binds the secret to the epoch being installed.</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senderSigningPublicKey</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Lets the recipient verify future sender-key messages.</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messageIndex</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Initializes receiver ratchet position.</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membershipHash</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Prevents accepting the key under the wrong member set.</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contextGraphId</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Prevents cross-context setup confusion.</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subGraphName</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Prevents cross-subgraph setup confusion.</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senderAgentAddress</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Binds the secret to the sender agent.</w:t>
            </w:r>
          </w:p>
        </w:tc>
      </w:tr>
    </w:tbl>
    <w:p>
      <w:pPr>
        <w:pStyle w:val="BodyText"/>
      </w:pPr>
      <w:r>
        <w:rPr>
          <w:rFonts w:ascii="Arial" w:hAnsi="Arial" w:eastAsia="Arial"/>
          <w:color w:val="111827"/>
          <w:sz w:val="21"/>
        </w:rPr>
        <w:t xml:space="preserve">The encrypted setup package should use the existing DKG agent X25519 public key model and proof checks. Do not add a peer-key recipient model.</w:t>
      </w:r>
    </w:p>
    <w:bookmarkEnd w:id="24"/>
    <w:bookmarkStart w:id="28" w:name="broadcast-flow"/>
    <w:p>
      <w:pPr>
        <w:pStyle w:val="Heading2"/>
        <w:keepNext/>
      </w:pPr>
      <w:r>
        <w:rPr>
          <w:rFonts w:ascii="Arial" w:hAnsi="Arial" w:eastAsia="Arial"/>
          <w:b/>
          <w:i w:val="0"/>
          <w:color w:val="0B4F63"/>
          <w:sz w:val="29"/>
        </w:rPr>
        <w:t xml:space="preserve">Broadcast Flow</w:t>
      </w:r>
    </w:p>
    <w:p>
      <w:pPr>
        <w:pStyle w:val="FirstParagraph"/>
      </w:pPr>
      <w:r>
        <w:rPr>
          <w:rFonts w:ascii="Arial" w:hAnsi="Arial" w:eastAsia="Arial"/>
          <w:color w:val="111827"/>
          <w:sz w:val="21"/>
        </w:rPr>
        <w:t xml:space="preserve">For each subsequent SWM message in the same epoch:</w:t>
      </w:r>
    </w:p>
    <w:tbl>
      <w:tblPr>
        <w:tblStyle w:val="Table"/>
        <w:tblW w:type="dxa" w:w="9840"/>
        <w:jc w:val="center"/>
        <w:tblLayout w:type="fixed"/>
        <w:tblLook w:firstRow="1" w:lastRow="0" w:firstColumn="0" w:lastColumn="0" w:noHBand="0" w:noVBand="0" w:val="0020"/>
        <w:tblInd w:type="dxa" w:w="0"/>
        <w:tblBorders>
          <w:top w:val="single" w:sz="6" w:space="0" w:color="C9DCE2"/>
          <w:left w:val="single" w:sz="6" w:space="0" w:color="C9DCE2"/>
          <w:bottom w:val="single" w:sz="6" w:space="0" w:color="C9DCE2"/>
          <w:right w:val="single" w:sz="6" w:space="0" w:color="C9DCE2"/>
          <w:insideH w:val="single" w:sz="6" w:space="0" w:color="C9DCE2"/>
          <w:insideV w:val="single" w:sz="6" w:space="0" w:color="C9DCE2"/>
        </w:tblBorders>
      </w:tblPr>
      <w:tblGrid>
        <w:gridCol w:w="2640"/>
        <w:gridCol w:w="2640"/>
        <w:gridCol w:w="2640"/>
      </w:tblGrid>
      <w:tr>
        <w:trPr>
          <w:tblHeader w:val="true"/>
          <w:cantSplit w:val="true"/>
        </w:trPr>
        <w:tc>
          <w:tcPr>
            <w:tcW w:type="dxa" w:w="2700"/>
            <w:tcMar>
              <w:top w:w="95" w:type="dxa"/>
              <w:start w:w="120" w:type="dxa"/>
              <w:bottom w:w="95" w:type="dxa"/>
              <w:end w:w="120" w:type="dxa"/>
            </w:tcMar>
            <w:vAlign w:val="center"/>
            <w:shd w:fill="E7F3F6"/>
          </w:tcPr>
          <w:p>
            <w:pPr>
              <w:pStyle w:val="Compact"/>
              <w:spacing w:before="0" w:after="0" w:line="250" w:lineRule="auto"/>
            </w:pPr>
            <w:r>
              <w:rPr>
                <w:rFonts w:ascii="Arial" w:hAnsi="Arial" w:eastAsia="Arial"/>
                <w:b/>
                <w:color w:val="0B4F63"/>
                <w:sz w:val="18"/>
              </w:rPr>
              <w:t xml:space="preserve">Step</w:t>
            </w:r>
          </w:p>
        </w:tc>
        <w:tc>
          <w:tcPr>
            <w:tcW w:type="dxa" w:w="3600"/>
            <w:tcMar>
              <w:top w:w="95" w:type="dxa"/>
              <w:start w:w="120" w:type="dxa"/>
              <w:bottom w:w="95" w:type="dxa"/>
              <w:end w:w="120" w:type="dxa"/>
            </w:tcMar>
            <w:vAlign w:val="center"/>
            <w:shd w:fill="E7F3F6"/>
          </w:tcPr>
          <w:p>
            <w:pPr>
              <w:pStyle w:val="Compact"/>
              <w:spacing w:before="0" w:after="0" w:line="250" w:lineRule="auto"/>
            </w:pPr>
            <w:r>
              <w:rPr>
                <w:rFonts w:ascii="Arial" w:hAnsi="Arial" w:eastAsia="Arial"/>
                <w:b/>
                <w:color w:val="0B4F63"/>
                <w:sz w:val="18"/>
              </w:rPr>
              <w:t xml:space="preserve">Actor</w:t>
            </w:r>
          </w:p>
        </w:tc>
        <w:tc>
          <w:tcPr>
            <w:tcW w:type="dxa" w:w="3540"/>
            <w:tcMar>
              <w:top w:w="95" w:type="dxa"/>
              <w:start w:w="120" w:type="dxa"/>
              <w:bottom w:w="95" w:type="dxa"/>
              <w:end w:w="120" w:type="dxa"/>
            </w:tcMar>
            <w:vAlign w:val="center"/>
            <w:shd w:fill="E7F3F6"/>
          </w:tcPr>
          <w:p>
            <w:pPr>
              <w:pStyle w:val="Compact"/>
              <w:spacing w:before="0" w:after="0" w:line="250" w:lineRule="auto"/>
            </w:pPr>
            <w:r>
              <w:rPr>
                <w:rFonts w:ascii="Arial" w:hAnsi="Arial" w:eastAsia="Arial"/>
                <w:b/>
                <w:color w:val="0B4F63"/>
                <w:sz w:val="18"/>
              </w:rPr>
              <w:t xml:space="preserve">Action</w:t>
            </w:r>
          </w:p>
        </w:tc>
      </w:tr>
      <w:tr>
        <w:trPr>
          <w:cantSplit w:val="true"/>
        </w:trPr>
        <w:tc>
          <w:tcPr>
            <w:tcW w:type="dxa" w:w="27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1</w:t>
            </w:r>
          </w:p>
        </w:tc>
        <w:tc>
          <w:tcPr>
            <w:tcW w:type="dxa" w:w="36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Sender</w:t>
            </w:r>
          </w:p>
        </w:tc>
        <w:tc>
          <w:tcPr>
            <w:tcW w:type="dxa" w:w="35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Derive a message key and nonce from the current chain key and message index.</w:t>
            </w:r>
          </w:p>
        </w:tc>
      </w:tr>
      <w:tr>
        <w:trPr>
          <w:cantSplit w:val="true"/>
        </w:trPr>
        <w:tc>
          <w:tcPr>
            <w:tcW w:type="dxa" w:w="27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2</w:t>
            </w:r>
          </w:p>
        </w:tc>
        <w:tc>
          <w:tcPr>
            <w:tcW w:type="dxa" w:w="36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Sender</w:t>
            </w:r>
          </w:p>
        </w:tc>
        <w:tc>
          <w:tcPr>
            <w:tcW w:type="dxa" w:w="35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Advance the chain key so later messages use fresh key material.</w:t>
            </w:r>
          </w:p>
        </w:tc>
      </w:tr>
      <w:tr>
        <w:trPr>
          <w:cantSplit w:val="true"/>
        </w:trPr>
        <w:tc>
          <w:tcPr>
            <w:tcW w:type="dxa" w:w="27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3</w:t>
            </w:r>
          </w:p>
        </w:tc>
        <w:tc>
          <w:tcPr>
            <w:tcW w:type="dxa" w:w="36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Sender</w:t>
            </w:r>
          </w:p>
        </w:tc>
        <w:tc>
          <w:tcPr>
            <w:tcW w:type="dxa" w:w="35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Encrypt the</w:t>
            </w:r>
            <w:r>
              <w:rPr>
                <w:rFonts w:ascii="Arial" w:hAnsi="Arial" w:eastAsia="Arial"/>
                <w:color w:val="111827"/>
                <w:sz w:val="18"/>
              </w:rPr>
              <w:t xml:space="preserve"> </w:t>
            </w:r>
            <w:r>
              <w:rPr>
                <w:rStyle w:val="VerbatimChar"/>
                <w:rFonts w:ascii="Arial" w:hAnsi="Arial" w:eastAsia="Arial"/>
                <w:color w:val="111827"/>
                <w:sz w:val="18"/>
              </w:rPr>
              <w:t xml:space="preserve">WorkspacePublishRequest</w:t>
            </w:r>
            <w:r>
              <w:rPr>
                <w:rFonts w:ascii="Arial" w:hAnsi="Arial" w:eastAsia="Arial"/>
                <w:color w:val="111827"/>
                <w:sz w:val="18"/>
              </w:rPr>
              <w:t xml:space="preserve"> </w:t>
            </w:r>
            <w:r>
              <w:rPr>
                <w:rFonts w:ascii="Arial" w:hAnsi="Arial" w:eastAsia="Arial"/>
                <w:color w:val="111827"/>
                <w:sz w:val="18"/>
              </w:rPr>
              <w:t xml:space="preserve">once.</w:t>
            </w:r>
          </w:p>
        </w:tc>
      </w:tr>
      <w:tr>
        <w:trPr>
          <w:cantSplit w:val="true"/>
        </w:trPr>
        <w:tc>
          <w:tcPr>
            <w:tcW w:type="dxa" w:w="27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4</w:t>
            </w:r>
          </w:p>
        </w:tc>
        <w:tc>
          <w:tcPr>
            <w:tcW w:type="dxa" w:w="36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Sender</w:t>
            </w:r>
          </w:p>
        </w:tc>
        <w:tc>
          <w:tcPr>
            <w:tcW w:type="dxa" w:w="35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Sign the ciphertext and metadata with the epoch signing private key.</w:t>
            </w:r>
          </w:p>
        </w:tc>
      </w:tr>
      <w:tr>
        <w:trPr>
          <w:cantSplit w:val="true"/>
        </w:trPr>
        <w:tc>
          <w:tcPr>
            <w:tcW w:type="dxa" w:w="27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5</w:t>
            </w:r>
          </w:p>
        </w:tc>
        <w:tc>
          <w:tcPr>
            <w:tcW w:type="dxa" w:w="36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Sender</w:t>
            </w:r>
          </w:p>
        </w:tc>
        <w:tc>
          <w:tcPr>
            <w:tcW w:type="dxa" w:w="35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Publish one</w:t>
            </w:r>
            <w:r>
              <w:rPr>
                <w:rFonts w:ascii="Arial" w:hAnsi="Arial" w:eastAsia="Arial"/>
                <w:color w:val="111827"/>
                <w:sz w:val="18"/>
              </w:rPr>
              <w:t xml:space="preserve"> </w:t>
            </w:r>
            <w:r>
              <w:rPr>
                <w:rStyle w:val="VerbatimChar"/>
                <w:rFonts w:ascii="Arial" w:hAnsi="Arial" w:eastAsia="Arial"/>
                <w:color w:val="111827"/>
                <w:sz w:val="18"/>
              </w:rPr>
              <w:t xml:space="preserve">SwmSenderKeyMessage</w:t>
            </w:r>
            <w:r>
              <w:rPr>
                <w:rFonts w:ascii="Arial" w:hAnsi="Arial" w:eastAsia="Arial"/>
                <w:color w:val="111827"/>
                <w:sz w:val="18"/>
              </w:rPr>
              <w:t xml:space="preserve"> </w:t>
            </w:r>
            <w:r>
              <w:rPr>
                <w:rFonts w:ascii="Arial" w:hAnsi="Arial" w:eastAsia="Arial"/>
                <w:color w:val="111827"/>
                <w:sz w:val="18"/>
              </w:rPr>
              <w:t xml:space="preserve">through GossipSub.</w:t>
            </w:r>
          </w:p>
        </w:tc>
      </w:tr>
      <w:tr>
        <w:trPr>
          <w:cantSplit w:val="true"/>
        </w:trPr>
        <w:tc>
          <w:tcPr>
            <w:tcW w:type="dxa" w:w="27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6</w:t>
            </w:r>
          </w:p>
        </w:tc>
        <w:tc>
          <w:tcPr>
            <w:tcW w:type="dxa" w:w="36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Receiver</w:t>
            </w:r>
          </w:p>
        </w:tc>
        <w:tc>
          <w:tcPr>
            <w:tcW w:type="dxa" w:w="35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Verify the sender-key signature, derive the same message key, decrypt, advance receiver chain state, and pass the plaintext request to</w:t>
            </w:r>
            <w:r>
              <w:rPr>
                <w:rFonts w:ascii="Arial" w:hAnsi="Arial" w:eastAsia="Arial"/>
                <w:color w:val="111827"/>
                <w:sz w:val="18"/>
              </w:rPr>
              <w:t xml:space="preserve"> </w:t>
            </w:r>
            <w:r>
              <w:rPr>
                <w:rStyle w:val="VerbatimChar"/>
                <w:rFonts w:ascii="Arial" w:hAnsi="Arial" w:eastAsia="Arial"/>
                <w:color w:val="111827"/>
                <w:sz w:val="18"/>
              </w:rPr>
              <w:t xml:space="preserve">SharedMemoryHandler</w:t>
            </w:r>
            <w:r>
              <w:rPr>
                <w:rFonts w:ascii="Arial" w:hAnsi="Arial" w:eastAsia="Arial"/>
                <w:color w:val="111827"/>
                <w:sz w:val="18"/>
              </w:rPr>
              <w:t xml:space="preserve">.</w:t>
            </w:r>
          </w:p>
        </w:tc>
      </w:tr>
    </w:tbl>
    <w:p>
      <w:pPr>
        <w:pStyle w:val="CaptionedFigure"/>
        <w:spacing w:after="80" w:before="160"/>
        <w:jc w:val="center"/>
      </w:pPr>
      <w:r>
        <w:drawing>
          <wp:inline>
            <wp:extent cx="5334000" cy="3076112"/>
            <wp:effectExtent b="0" l="0" r="0" t="0"/>
            <wp:docPr descr="Broadcast flow rendered sequence diagram" title="" id="26" name="Picture"/>
            <a:graphic>
              <a:graphicData uri="http://schemas.openxmlformats.org/drawingml/2006/picture">
                <pic:pic>
                  <pic:nvPicPr>
                    <pic:cNvPr descr="/private/tmp/swm-sender-key-doc-build/diagrams/swm-sender-key-2.png" id="27" name="Picture"/>
                    <pic:cNvPicPr>
                      <a:picLocks noChangeArrowheads="1" noChangeAspect="1"/>
                    </pic:cNvPicPr>
                  </pic:nvPicPr>
                  <pic:blipFill>
                    <a:blip r:embed="rId25"/>
                    <a:stretch>
                      <a:fillRect/>
                    </a:stretch>
                  </pic:blipFill>
                  <pic:spPr bwMode="auto">
                    <a:xfrm>
                      <a:off x="0" y="0"/>
                      <a:ext cx="5334000" cy="3076112"/>
                    </a:xfrm>
                    <a:prstGeom prst="rect">
                      <a:avLst/>
                    </a:prstGeom>
                    <a:noFill/>
                    <a:ln w="9525">
                      <a:noFill/>
                      <a:headEnd/>
                      <a:tailEnd/>
                    </a:ln>
                  </pic:spPr>
                </pic:pic>
              </a:graphicData>
            </a:graphic>
          </wp:inline>
        </w:drawing>
      </w:r>
    </w:p>
    <w:p>
      <w:pPr>
        <w:pStyle w:val="ImageCaption"/>
        <w:spacing w:before="60" w:after="200"/>
        <w:jc w:val="center"/>
      </w:pPr>
      <w:r>
        <w:rPr>
          <w:rFonts w:ascii="Arial" w:hAnsi="Arial" w:eastAsia="Arial"/>
          <w:b w:val="0"/>
          <w:i/>
          <w:color w:val="4B5563"/>
          <w:sz w:val="18"/>
        </w:rPr>
        <w:t xml:space="preserve">Broadcast flow rendered sequence diagram</w:t>
      </w:r>
    </w:p>
    <w:p>
      <w:pPr>
        <w:pStyle w:val="BodyText"/>
      </w:pPr>
      <w:r>
        <w:rPr>
          <w:rFonts w:ascii="Arial" w:hAnsi="Arial" w:eastAsia="Arial"/>
          <w:color w:val="111827"/>
          <w:sz w:val="21"/>
        </w:rPr>
        <w:t xml:space="preserve">Suggested broadcast envelope:</w:t>
      </w:r>
    </w:p>
    <w:tbl>
      <w:tblPr>
        <w:tblStyle w:val="Table"/>
        <w:tblW w:type="dxa" w:w="9840"/>
        <w:jc w:val="center"/>
        <w:tblLayout w:type="fixed"/>
        <w:tblLook w:firstRow="1" w:lastRow="0" w:firstColumn="0" w:lastColumn="0" w:noHBand="0" w:noVBand="0" w:val="0020"/>
        <w:tblInd w:type="dxa" w:w="0"/>
        <w:tblBorders>
          <w:top w:val="single" w:sz="6" w:space="0" w:color="C9DCE2"/>
          <w:left w:val="single" w:sz="6" w:space="0" w:color="C9DCE2"/>
          <w:bottom w:val="single" w:sz="6" w:space="0" w:color="C9DCE2"/>
          <w:right w:val="single" w:sz="6" w:space="0" w:color="C9DCE2"/>
          <w:insideH w:val="single" w:sz="6" w:space="0" w:color="C9DCE2"/>
          <w:insideV w:val="single" w:sz="6" w:space="0" w:color="C9DCE2"/>
        </w:tblBorders>
      </w:tblPr>
      <w:tblGrid>
        <w:gridCol w:w="3960"/>
        <w:gridCol w:w="3960"/>
      </w:tblGrid>
      <w:tr>
        <w:trPr>
          <w:tblHeader w:val="true"/>
          <w:cantSplit w:val="true"/>
        </w:trPr>
        <w:tc>
          <w:tcPr>
            <w:tcW w:type="dxa" w:w="4100"/>
            <w:tcMar>
              <w:top w:w="95" w:type="dxa"/>
              <w:start w:w="120" w:type="dxa"/>
              <w:bottom w:w="95" w:type="dxa"/>
              <w:end w:w="120" w:type="dxa"/>
            </w:tcMar>
            <w:vAlign w:val="center"/>
            <w:shd w:fill="E7F3F6"/>
          </w:tcPr>
          <w:p>
            <w:pPr>
              <w:pStyle w:val="Compact"/>
              <w:spacing w:before="0" w:after="0" w:line="250" w:lineRule="auto"/>
            </w:pPr>
            <w:r>
              <w:rPr>
                <w:rFonts w:ascii="Arial" w:hAnsi="Arial" w:eastAsia="Arial"/>
                <w:b/>
                <w:color w:val="0B4F63"/>
                <w:sz w:val="19"/>
              </w:rPr>
              <w:t xml:space="preserve">Field</w:t>
            </w:r>
          </w:p>
        </w:tc>
        <w:tc>
          <w:tcPr>
            <w:tcW w:type="dxa" w:w="5740"/>
            <w:tcMar>
              <w:top w:w="95" w:type="dxa"/>
              <w:start w:w="120" w:type="dxa"/>
              <w:bottom w:w="95" w:type="dxa"/>
              <w:end w:w="120" w:type="dxa"/>
            </w:tcMar>
            <w:vAlign w:val="center"/>
            <w:shd w:fill="E7F3F6"/>
          </w:tcPr>
          <w:p>
            <w:pPr>
              <w:pStyle w:val="Compact"/>
              <w:spacing w:before="0" w:after="0" w:line="250" w:lineRule="auto"/>
            </w:pPr>
            <w:r>
              <w:rPr>
                <w:rFonts w:ascii="Arial" w:hAnsi="Arial" w:eastAsia="Arial"/>
                <w:b/>
                <w:color w:val="0B4F63"/>
                <w:sz w:val="19"/>
              </w:rPr>
              <w:t xml:space="preserve">Purpose</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version</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Sender Key message schema version.</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type</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Constant:</w:t>
            </w:r>
            <w:r>
              <w:rPr>
                <w:rFonts w:ascii="Arial" w:hAnsi="Arial" w:eastAsia="Arial"/>
                <w:color w:val="111827"/>
                <w:sz w:val="19"/>
              </w:rPr>
              <w:t xml:space="preserve"> </w:t>
            </w:r>
            <w:r>
              <w:rPr>
                <w:rStyle w:val="VerbatimChar"/>
                <w:rFonts w:ascii="Arial" w:hAnsi="Arial" w:eastAsia="Arial"/>
                <w:color w:val="111827"/>
                <w:sz w:val="19"/>
              </w:rPr>
              <w:t xml:space="preserve">swm.sender-key.message</w:t>
            </w:r>
            <w:r>
              <w:rPr>
                <w:rFonts w:ascii="Arial" w:hAnsi="Arial" w:eastAsia="Arial"/>
                <w:color w:val="111827"/>
                <w:sz w:val="19"/>
              </w:rPr>
              <w:t xml:space="preserve">.</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contextGraphId</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Context graph whose SWM payload is encrypted.</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subGraphName</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Optional SWM subgraph binding.</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senderAgentAddress</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DKG agent that owns the sender chain.</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epochId</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Sender Key epoch used for this message.</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membershipHash</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Member/key set expected by the receiver.</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messageIndex</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Ratchet position used to derive the message key.</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cipherAlgorithm</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AEAD used for payload encryption.</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nonce</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AEAD nonce or IV for this message.</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ciphertext</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Encrypted</w:t>
            </w:r>
            <w:r>
              <w:rPr>
                <w:rFonts w:ascii="Arial" w:hAnsi="Arial" w:eastAsia="Arial"/>
                <w:color w:val="111827"/>
                <w:sz w:val="19"/>
              </w:rPr>
              <w:t xml:space="preserve"> </w:t>
            </w:r>
            <w:r>
              <w:rPr>
                <w:rStyle w:val="VerbatimChar"/>
                <w:rFonts w:ascii="Arial" w:hAnsi="Arial" w:eastAsia="Arial"/>
                <w:color w:val="111827"/>
                <w:sz w:val="19"/>
              </w:rPr>
              <w:t xml:space="preserve">WorkspacePublishRequest</w:t>
            </w:r>
            <w:r>
              <w:rPr>
                <w:rFonts w:ascii="Arial" w:hAnsi="Arial" w:eastAsia="Arial"/>
                <w:color w:val="111827"/>
                <w:sz w:val="19"/>
              </w:rPr>
              <w:t xml:space="preserve">.</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aadHash</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Digest of authenticated metadata.</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senderKeySignature</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Epoch signature over ciphertext and metadata.</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outerAgentSignature</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DKG agent identity signature for compatibility with existing gates.</w:t>
            </w:r>
          </w:p>
        </w:tc>
      </w:tr>
    </w:tbl>
    <w:p>
      <w:pPr>
        <w:pStyle w:val="BodyText"/>
      </w:pPr>
      <w:r>
        <w:rPr>
          <w:rFonts w:ascii="Arial" w:hAnsi="Arial" w:eastAsia="Arial"/>
          <w:color w:val="111827"/>
          <w:sz w:val="21"/>
        </w:rPr>
        <w:t xml:space="preserve">The authenticated data should bind:</w:t>
      </w:r>
    </w:p>
    <w:tbl>
      <w:tblPr>
        <w:tblStyle w:val="Table"/>
        <w:tblW w:type="dxa" w:w="9840"/>
        <w:jc w:val="center"/>
        <w:tblLayout w:type="fixed"/>
        <w:tblLook w:firstRow="1" w:lastRow="0" w:firstColumn="0" w:lastColumn="0" w:noHBand="0" w:noVBand="0" w:val="0020"/>
        <w:tblInd w:type="dxa" w:w="0"/>
        <w:tblBorders>
          <w:top w:val="single" w:sz="6" w:space="0" w:color="C9DCE2"/>
          <w:left w:val="single" w:sz="6" w:space="0" w:color="C9DCE2"/>
          <w:bottom w:val="single" w:sz="6" w:space="0" w:color="C9DCE2"/>
          <w:right w:val="single" w:sz="6" w:space="0" w:color="C9DCE2"/>
          <w:insideH w:val="single" w:sz="6" w:space="0" w:color="C9DCE2"/>
          <w:insideV w:val="single" w:sz="6" w:space="0" w:color="C9DCE2"/>
        </w:tblBorders>
      </w:tblPr>
      <w:tblGrid>
        <w:gridCol w:w="3960"/>
        <w:gridCol w:w="3960"/>
      </w:tblGrid>
      <w:tr>
        <w:trPr>
          <w:tblHeader w:val="true"/>
          <w:cantSplit w:val="true"/>
        </w:trPr>
        <w:tc>
          <w:tcPr>
            <w:tcW w:type="dxa" w:w="4100"/>
            <w:tcMar>
              <w:top w:w="95" w:type="dxa"/>
              <w:start w:w="120" w:type="dxa"/>
              <w:bottom w:w="95" w:type="dxa"/>
              <w:end w:w="120" w:type="dxa"/>
            </w:tcMar>
            <w:vAlign w:val="center"/>
            <w:shd w:fill="E7F3F6"/>
          </w:tcPr>
          <w:p>
            <w:pPr>
              <w:pStyle w:val="Compact"/>
              <w:spacing w:before="0" w:after="0" w:line="250" w:lineRule="auto"/>
            </w:pPr>
            <w:r>
              <w:rPr>
                <w:rFonts w:ascii="Arial" w:hAnsi="Arial" w:eastAsia="Arial"/>
                <w:b/>
                <w:color w:val="0B4F63"/>
                <w:sz w:val="19"/>
              </w:rPr>
              <w:t xml:space="preserve">AAD field</w:t>
            </w:r>
          </w:p>
        </w:tc>
        <w:tc>
          <w:tcPr>
            <w:tcW w:type="dxa" w:w="5740"/>
            <w:tcMar>
              <w:top w:w="95" w:type="dxa"/>
              <w:start w:w="120" w:type="dxa"/>
              <w:bottom w:w="95" w:type="dxa"/>
              <w:end w:w="120" w:type="dxa"/>
            </w:tcMar>
            <w:vAlign w:val="center"/>
            <w:shd w:fill="E7F3F6"/>
          </w:tcPr>
          <w:p>
            <w:pPr>
              <w:pStyle w:val="Compact"/>
              <w:spacing w:before="0" w:after="0" w:line="250" w:lineRule="auto"/>
            </w:pPr>
            <w:r>
              <w:rPr>
                <w:rFonts w:ascii="Arial" w:hAnsi="Arial" w:eastAsia="Arial"/>
                <w:b/>
                <w:color w:val="0B4F63"/>
                <w:sz w:val="19"/>
              </w:rPr>
              <w:t xml:space="preserve">Reason</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version</w:t>
            </w:r>
            <w:r>
              <w:rPr>
                <w:rFonts w:ascii="Arial" w:hAnsi="Arial" w:eastAsia="Arial"/>
                <w:color w:val="111827"/>
                <w:sz w:val="19"/>
              </w:rPr>
              <w:t xml:space="preserve"> </w:t>
            </w:r>
            <w:r>
              <w:rPr>
                <w:rFonts w:ascii="Arial" w:hAnsi="Arial" w:eastAsia="Arial"/>
                <w:color w:val="111827"/>
                <w:sz w:val="19"/>
              </w:rPr>
              <w:t xml:space="preserve">and</w:t>
            </w:r>
            <w:r>
              <w:rPr>
                <w:rFonts w:ascii="Arial" w:hAnsi="Arial" w:eastAsia="Arial"/>
                <w:color w:val="111827"/>
                <w:sz w:val="19"/>
              </w:rPr>
              <w:t xml:space="preserve"> </w:t>
            </w:r>
            <w:r>
              <w:rPr>
                <w:rStyle w:val="VerbatimChar"/>
                <w:rFonts w:ascii="Arial" w:hAnsi="Arial" w:eastAsia="Arial"/>
                <w:color w:val="111827"/>
                <w:sz w:val="19"/>
              </w:rPr>
              <w:t xml:space="preserve">type</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Prevents parsing the ciphertext under the wrong envelope kind.</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contextGraphId</w:t>
            </w:r>
            <w:r>
              <w:rPr>
                <w:rFonts w:ascii="Arial" w:hAnsi="Arial" w:eastAsia="Arial"/>
                <w:color w:val="111827"/>
                <w:sz w:val="19"/>
              </w:rPr>
              <w:t xml:space="preserve"> </w:t>
            </w:r>
            <w:r>
              <w:rPr>
                <w:rFonts w:ascii="Arial" w:hAnsi="Arial" w:eastAsia="Arial"/>
                <w:color w:val="111827"/>
                <w:sz w:val="19"/>
              </w:rPr>
              <w:t xml:space="preserve">and</w:t>
            </w:r>
            <w:r>
              <w:rPr>
                <w:rFonts w:ascii="Arial" w:hAnsi="Arial" w:eastAsia="Arial"/>
                <w:color w:val="111827"/>
                <w:sz w:val="19"/>
              </w:rPr>
              <w:t xml:space="preserve"> </w:t>
            </w:r>
            <w:r>
              <w:rPr>
                <w:rStyle w:val="VerbatimChar"/>
                <w:rFonts w:ascii="Arial" w:hAnsi="Arial" w:eastAsia="Arial"/>
                <w:color w:val="111827"/>
                <w:sz w:val="19"/>
              </w:rPr>
              <w:t xml:space="preserve">subGraphName</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Prevents cross-context or cross-subgraph replay.</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senderAgentAddress</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Binds the message to the sender chain owner.</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epochId</w:t>
            </w:r>
            <w:r>
              <w:rPr>
                <w:rFonts w:ascii="Arial" w:hAnsi="Arial" w:eastAsia="Arial"/>
                <w:color w:val="111827"/>
                <w:sz w:val="19"/>
              </w:rPr>
              <w:t xml:space="preserve"> </w:t>
            </w:r>
            <w:r>
              <w:rPr>
                <w:rFonts w:ascii="Arial" w:hAnsi="Arial" w:eastAsia="Arial"/>
                <w:color w:val="111827"/>
                <w:sz w:val="19"/>
              </w:rPr>
              <w:t xml:space="preserve">and</w:t>
            </w:r>
            <w:r>
              <w:rPr>
                <w:rFonts w:ascii="Arial" w:hAnsi="Arial" w:eastAsia="Arial"/>
                <w:color w:val="111827"/>
                <w:sz w:val="19"/>
              </w:rPr>
              <w:t xml:space="preserve"> </w:t>
            </w:r>
            <w:r>
              <w:rPr>
                <w:rStyle w:val="VerbatimChar"/>
                <w:rFonts w:ascii="Arial" w:hAnsi="Arial" w:eastAsia="Arial"/>
                <w:color w:val="111827"/>
                <w:sz w:val="19"/>
              </w:rPr>
              <w:t xml:space="preserve">membershipHash</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Binds decryption to the accepted membership epoch.</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messageIndex</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Prevents replay under a different ratchet position.</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cipherAlgorithm</w:t>
            </w:r>
            <w:r>
              <w:rPr>
                <w:rFonts w:ascii="Arial" w:hAnsi="Arial" w:eastAsia="Arial"/>
                <w:color w:val="111827"/>
                <w:sz w:val="19"/>
              </w:rPr>
              <w:t xml:space="preserve"> </w:t>
            </w:r>
            <w:r>
              <w:rPr>
                <w:rFonts w:ascii="Arial" w:hAnsi="Arial" w:eastAsia="Arial"/>
                <w:color w:val="111827"/>
                <w:sz w:val="19"/>
              </w:rPr>
              <w:t xml:space="preserve">and</w:t>
            </w:r>
            <w:r>
              <w:rPr>
                <w:rFonts w:ascii="Arial" w:hAnsi="Arial" w:eastAsia="Arial"/>
                <w:color w:val="111827"/>
                <w:sz w:val="19"/>
              </w:rPr>
              <w:t xml:space="preserve"> </w:t>
            </w:r>
            <w:r>
              <w:rPr>
                <w:rStyle w:val="VerbatimChar"/>
                <w:rFonts w:ascii="Arial" w:hAnsi="Arial" w:eastAsia="Arial"/>
                <w:color w:val="111827"/>
                <w:sz w:val="19"/>
              </w:rPr>
              <w:t xml:space="preserve">nonce</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Binds crypto parameters into authentication.</w:t>
            </w:r>
          </w:p>
        </w:tc>
      </w:tr>
    </w:tbl>
    <w:p>
      <w:pPr>
        <w:pStyle w:val="BodyText"/>
      </w:pPr>
      <w:r>
        <w:rPr>
          <w:rFonts w:ascii="Arial" w:hAnsi="Arial" w:eastAsia="Arial"/>
          <w:color w:val="111827"/>
          <w:sz w:val="21"/>
        </w:rPr>
        <w:t xml:space="preserve">The decrypted</w:t>
      </w:r>
      <w:r>
        <w:rPr>
          <w:rFonts w:ascii="Arial" w:hAnsi="Arial" w:eastAsia="Arial"/>
          <w:color w:val="111827"/>
          <w:sz w:val="21"/>
        </w:rPr>
        <w:t xml:space="preserve"> </w:t>
      </w:r>
      <w:r>
        <w:rPr>
          <w:rStyle w:val="VerbatimChar"/>
          <w:rFonts w:ascii="Arial" w:hAnsi="Arial" w:eastAsia="Arial"/>
          <w:color w:val="111827"/>
          <w:sz w:val="21"/>
        </w:rPr>
        <w:t xml:space="preserve">WorkspacePublishRequest.paranetId</w:t>
      </w:r>
      <w:r>
        <w:rPr>
          <w:rFonts w:ascii="Arial" w:hAnsi="Arial" w:eastAsia="Arial"/>
          <w:color w:val="111827"/>
          <w:sz w:val="21"/>
        </w:rPr>
        <w:t xml:space="preserve"> </w:t>
      </w:r>
      <w:r>
        <w:rPr>
          <w:rFonts w:ascii="Arial" w:hAnsi="Arial" w:eastAsia="Arial"/>
          <w:color w:val="111827"/>
          <w:sz w:val="21"/>
        </w:rPr>
        <w:t xml:space="preserve">must still match</w:t>
      </w:r>
      <w:r>
        <w:rPr>
          <w:rFonts w:ascii="Arial" w:hAnsi="Arial" w:eastAsia="Arial"/>
          <w:color w:val="111827"/>
          <w:sz w:val="21"/>
        </w:rPr>
        <w:t xml:space="preserve"> </w:t>
      </w:r>
      <w:r>
        <w:rPr>
          <w:rStyle w:val="VerbatimChar"/>
          <w:rFonts w:ascii="Arial" w:hAnsi="Arial" w:eastAsia="Arial"/>
          <w:color w:val="111827"/>
          <w:sz w:val="21"/>
        </w:rPr>
        <w:t xml:space="preserve">contextGraphId</w:t>
      </w:r>
      <w:r>
        <w:rPr>
          <w:rFonts w:ascii="Arial" w:hAnsi="Arial" w:eastAsia="Arial"/>
          <w:color w:val="111827"/>
          <w:sz w:val="21"/>
        </w:rPr>
        <w:t xml:space="preserve">.</w:t>
      </w:r>
    </w:p>
    <w:bookmarkEnd w:id="28"/>
    <w:bookmarkStart w:id="29" w:name="ratchet-details"/>
    <w:p>
      <w:pPr>
        <w:pStyle w:val="Heading2"/>
        <w:keepNext/>
      </w:pPr>
      <w:r>
        <w:rPr>
          <w:rFonts w:ascii="Arial" w:hAnsi="Arial" w:eastAsia="Arial"/>
          <w:b/>
          <w:i w:val="0"/>
          <w:color w:val="0B4F63"/>
          <w:sz w:val="29"/>
        </w:rPr>
        <w:t xml:space="preserve">Ratchet Details</w:t>
      </w:r>
    </w:p>
    <w:p>
      <w:pPr>
        <w:pStyle w:val="FirstParagraph"/>
      </w:pPr>
      <w:r>
        <w:rPr>
          <w:rFonts w:ascii="Arial" w:hAnsi="Arial" w:eastAsia="Arial"/>
          <w:color w:val="111827"/>
          <w:sz w:val="21"/>
        </w:rPr>
        <w:t xml:space="preserve">Use modern AEAD rather than copying WhatsApp’s older AES-CBC shape directly.</w:t>
      </w:r>
    </w:p>
    <w:p>
      <w:pPr>
        <w:pStyle w:val="BodyText"/>
      </w:pPr>
      <w:r>
        <w:rPr>
          <w:rFonts w:ascii="Arial" w:hAnsi="Arial" w:eastAsia="Arial"/>
          <w:color w:val="111827"/>
          <w:sz w:val="21"/>
        </w:rPr>
        <w:t xml:space="preserve">Recommended construction:</w:t>
      </w:r>
    </w:p>
    <w:tbl>
      <w:tblPr>
        <w:tblStyle w:val="Table"/>
        <w:tblW w:type="dxa" w:w="9840"/>
        <w:jc w:val="center"/>
        <w:tblLayout w:type="fixed"/>
        <w:tblLook w:firstRow="1" w:lastRow="0" w:firstColumn="0" w:lastColumn="0" w:noHBand="0" w:noVBand="0" w:val="0020"/>
        <w:tblInd w:type="dxa" w:w="0"/>
        <w:tblBorders>
          <w:top w:val="single" w:sz="6" w:space="0" w:color="C9DCE2"/>
          <w:left w:val="single" w:sz="6" w:space="0" w:color="C9DCE2"/>
          <w:bottom w:val="single" w:sz="6" w:space="0" w:color="C9DCE2"/>
          <w:right w:val="single" w:sz="6" w:space="0" w:color="C9DCE2"/>
          <w:insideH w:val="single" w:sz="6" w:space="0" w:color="C9DCE2"/>
          <w:insideV w:val="single" w:sz="6" w:space="0" w:color="C9DCE2"/>
        </w:tblBorders>
      </w:tblPr>
      <w:tblGrid>
        <w:gridCol w:w="2640"/>
        <w:gridCol w:w="2640"/>
        <w:gridCol w:w="2640"/>
      </w:tblGrid>
      <w:tr>
        <w:trPr>
          <w:tblHeader w:val="true"/>
          <w:cantSplit w:val="true"/>
        </w:trPr>
        <w:tc>
          <w:tcPr>
            <w:tcW w:type="dxa" w:w="2700"/>
            <w:tcMar>
              <w:top w:w="95" w:type="dxa"/>
              <w:start w:w="120" w:type="dxa"/>
              <w:bottom w:w="95" w:type="dxa"/>
              <w:end w:w="120" w:type="dxa"/>
            </w:tcMar>
            <w:vAlign w:val="center"/>
            <w:shd w:fill="E7F3F6"/>
          </w:tcPr>
          <w:p>
            <w:pPr>
              <w:pStyle w:val="Compact"/>
              <w:spacing w:before="0" w:after="0" w:line="250" w:lineRule="auto"/>
            </w:pPr>
            <w:r>
              <w:rPr>
                <w:rFonts w:ascii="Arial" w:hAnsi="Arial" w:eastAsia="Arial"/>
                <w:b/>
                <w:color w:val="0B4F63"/>
                <w:sz w:val="18"/>
              </w:rPr>
              <w:t xml:space="preserve">Derived value</w:t>
            </w:r>
          </w:p>
        </w:tc>
        <w:tc>
          <w:tcPr>
            <w:tcW w:type="dxa" w:w="3600"/>
            <w:tcMar>
              <w:top w:w="95" w:type="dxa"/>
              <w:start w:w="120" w:type="dxa"/>
              <w:bottom w:w="95" w:type="dxa"/>
              <w:end w:w="120" w:type="dxa"/>
            </w:tcMar>
            <w:vAlign w:val="center"/>
            <w:shd w:fill="E7F3F6"/>
          </w:tcPr>
          <w:p>
            <w:pPr>
              <w:pStyle w:val="Compact"/>
              <w:spacing w:before="0" w:after="0" w:line="250" w:lineRule="auto"/>
            </w:pPr>
            <w:r>
              <w:rPr>
                <w:rFonts w:ascii="Arial" w:hAnsi="Arial" w:eastAsia="Arial"/>
                <w:b/>
                <w:color w:val="0B4F63"/>
                <w:sz w:val="18"/>
              </w:rPr>
              <w:t xml:space="preserve">Construction</w:t>
            </w:r>
          </w:p>
        </w:tc>
        <w:tc>
          <w:tcPr>
            <w:tcW w:type="dxa" w:w="3540"/>
            <w:tcMar>
              <w:top w:w="95" w:type="dxa"/>
              <w:start w:w="120" w:type="dxa"/>
              <w:bottom w:w="95" w:type="dxa"/>
              <w:end w:w="120" w:type="dxa"/>
            </w:tcMar>
            <w:vAlign w:val="center"/>
            <w:shd w:fill="E7F3F6"/>
          </w:tcPr>
          <w:p>
            <w:pPr>
              <w:pStyle w:val="Compact"/>
              <w:spacing w:before="0" w:after="0" w:line="250" w:lineRule="auto"/>
            </w:pPr>
            <w:r>
              <w:rPr>
                <w:rFonts w:ascii="Arial" w:hAnsi="Arial" w:eastAsia="Arial"/>
                <w:b/>
                <w:color w:val="0B4F63"/>
                <w:sz w:val="18"/>
              </w:rPr>
              <w:t xml:space="preserve">Purpose</w:t>
            </w:r>
          </w:p>
        </w:tc>
      </w:tr>
      <w:tr>
        <w:trPr>
          <w:cantSplit w:val="true"/>
        </w:trPr>
        <w:tc>
          <w:tcPr>
            <w:tcW w:type="dxa" w:w="27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8"/>
              </w:rPr>
              <w:t xml:space="preserve">messageKeyMaterial</w:t>
            </w:r>
          </w:p>
        </w:tc>
        <w:tc>
          <w:tcPr>
            <w:tcW w:type="dxa" w:w="36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8"/>
              </w:rPr>
              <w:t xml:space="preserve">HKDF-SHA256(chainKey, "swm.sender-key.message", aad)</w:t>
            </w:r>
          </w:p>
        </w:tc>
        <w:tc>
          <w:tcPr>
            <w:tcW w:type="dxa" w:w="35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Per-message key material bound to authenticated metadata.</w:t>
            </w:r>
          </w:p>
        </w:tc>
      </w:tr>
      <w:tr>
        <w:trPr>
          <w:cantSplit w:val="true"/>
        </w:trPr>
        <w:tc>
          <w:tcPr>
            <w:tcW w:type="dxa" w:w="27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8"/>
              </w:rPr>
              <w:t xml:space="preserve">chainKeyNext</w:t>
            </w:r>
          </w:p>
        </w:tc>
        <w:tc>
          <w:tcPr>
            <w:tcW w:type="dxa" w:w="36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8"/>
              </w:rPr>
              <w:t xml:space="preserve">HMAC-SHA256(chainKey, "swm.sender-key.chain")</w:t>
            </w:r>
          </w:p>
        </w:tc>
        <w:tc>
          <w:tcPr>
            <w:tcW w:type="dxa" w:w="35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Ratchet step for future messages.</w:t>
            </w:r>
          </w:p>
        </w:tc>
      </w:tr>
      <w:tr>
        <w:trPr>
          <w:cantSplit w:val="true"/>
        </w:trPr>
        <w:tc>
          <w:tcPr>
            <w:tcW w:type="dxa" w:w="27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8"/>
              </w:rPr>
              <w:t xml:space="preserve">payloadKey</w:t>
            </w:r>
          </w:p>
        </w:tc>
        <w:tc>
          <w:tcPr>
            <w:tcW w:type="dxa" w:w="36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First 32 bytes of</w:t>
            </w:r>
            <w:r>
              <w:rPr>
                <w:rFonts w:ascii="Arial" w:hAnsi="Arial" w:eastAsia="Arial"/>
                <w:color w:val="111827"/>
                <w:sz w:val="18"/>
              </w:rPr>
              <w:t xml:space="preserve"> </w:t>
            </w:r>
            <w:r>
              <w:rPr>
                <w:rStyle w:val="VerbatimChar"/>
                <w:rFonts w:ascii="Arial" w:hAnsi="Arial" w:eastAsia="Arial"/>
                <w:color w:val="111827"/>
                <w:sz w:val="18"/>
              </w:rPr>
              <w:t xml:space="preserve">messageKeyMaterial</w:t>
            </w:r>
          </w:p>
        </w:tc>
        <w:tc>
          <w:tcPr>
            <w:tcW w:type="dxa" w:w="35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AEAD payload key.</w:t>
            </w:r>
          </w:p>
        </w:tc>
      </w:tr>
      <w:tr>
        <w:trPr>
          <w:cantSplit w:val="true"/>
        </w:trPr>
        <w:tc>
          <w:tcPr>
            <w:tcW w:type="dxa" w:w="27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8"/>
              </w:rPr>
              <w:t xml:space="preserve">nonce</w:t>
            </w:r>
          </w:p>
        </w:tc>
        <w:tc>
          <w:tcPr>
            <w:tcW w:type="dxa" w:w="36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Next 12 or 24 bytes, depending on AEAD</w:t>
            </w:r>
          </w:p>
        </w:tc>
        <w:tc>
          <w:tcPr>
            <w:tcW w:type="dxa" w:w="35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Per-message AEAD nonce/IV.</w:t>
            </w:r>
          </w:p>
        </w:tc>
      </w:tr>
    </w:tbl>
    <w:p>
      <w:pPr>
        <w:pStyle w:val="BodyText"/>
      </w:pPr>
      <w:r>
        <w:rPr>
          <w:rFonts w:ascii="Arial" w:hAnsi="Arial" w:eastAsia="Arial"/>
          <w:color w:val="111827"/>
          <w:sz w:val="21"/>
        </w:rPr>
        <w:t xml:space="preserve">Recommended cipher options:</w:t>
      </w:r>
    </w:p>
    <w:tbl>
      <w:tblPr>
        <w:tblStyle w:val="Table"/>
        <w:tblW w:type="dxa" w:w="9840"/>
        <w:jc w:val="center"/>
        <w:tblLayout w:type="fixed"/>
        <w:tblLook w:firstRow="1" w:lastRow="0" w:firstColumn="0" w:lastColumn="0" w:noHBand="0" w:noVBand="0" w:val="0020"/>
        <w:tblInd w:type="dxa" w:w="0"/>
        <w:tblBorders>
          <w:top w:val="single" w:sz="6" w:space="0" w:color="C9DCE2"/>
          <w:left w:val="single" w:sz="6" w:space="0" w:color="C9DCE2"/>
          <w:bottom w:val="single" w:sz="6" w:space="0" w:color="C9DCE2"/>
          <w:right w:val="single" w:sz="6" w:space="0" w:color="C9DCE2"/>
          <w:insideH w:val="single" w:sz="6" w:space="0" w:color="C9DCE2"/>
          <w:insideV w:val="single" w:sz="6" w:space="0" w:color="C9DCE2"/>
        </w:tblBorders>
      </w:tblPr>
      <w:tblGrid>
        <w:gridCol w:w="3960"/>
        <w:gridCol w:w="3960"/>
      </w:tblGrid>
      <w:tr>
        <w:trPr>
          <w:tblHeader w:val="true"/>
          <w:cantSplit w:val="true"/>
        </w:trPr>
        <w:tc>
          <w:tcPr>
            <w:tcW w:type="dxa" w:w="4100"/>
            <w:tcMar>
              <w:top w:w="95" w:type="dxa"/>
              <w:start w:w="120" w:type="dxa"/>
              <w:bottom w:w="95" w:type="dxa"/>
              <w:end w:w="120" w:type="dxa"/>
            </w:tcMar>
            <w:vAlign w:val="center"/>
            <w:shd w:fill="E7F3F6"/>
          </w:tcPr>
          <w:p>
            <w:pPr>
              <w:pStyle w:val="Compact"/>
              <w:spacing w:before="0" w:after="0" w:line="250" w:lineRule="auto"/>
            </w:pPr>
            <w:r>
              <w:rPr>
                <w:rFonts w:ascii="Arial" w:hAnsi="Arial" w:eastAsia="Arial"/>
                <w:b/>
                <w:color w:val="0B4F63"/>
                <w:sz w:val="19"/>
              </w:rPr>
              <w:t xml:space="preserve">Cipher</w:t>
            </w:r>
          </w:p>
        </w:tc>
        <w:tc>
          <w:tcPr>
            <w:tcW w:type="dxa" w:w="5740"/>
            <w:tcMar>
              <w:top w:w="95" w:type="dxa"/>
              <w:start w:w="120" w:type="dxa"/>
              <w:bottom w:w="95" w:type="dxa"/>
              <w:end w:w="120" w:type="dxa"/>
            </w:tcMar>
            <w:vAlign w:val="center"/>
            <w:shd w:fill="E7F3F6"/>
          </w:tcPr>
          <w:p>
            <w:pPr>
              <w:pStyle w:val="Compact"/>
              <w:spacing w:before="0" w:after="0" w:line="250" w:lineRule="auto"/>
            </w:pPr>
            <w:r>
              <w:rPr>
                <w:rFonts w:ascii="Arial" w:hAnsi="Arial" w:eastAsia="Arial"/>
                <w:b/>
                <w:color w:val="0B4F63"/>
                <w:sz w:val="19"/>
              </w:rPr>
              <w:t xml:space="preserve">When to use it</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XChaCha20-Poly1305</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Prefer this when the dependency footprint is acceptable and nonce-misuse resistance is valuable.</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AES-256-GCM</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Prefer this when staying inside Node/WebCrypto primitives is more important.</w:t>
            </w:r>
          </w:p>
        </w:tc>
      </w:tr>
    </w:tbl>
    <w:p>
      <w:pPr>
        <w:pStyle w:val="BodyText"/>
      </w:pPr>
      <w:r>
        <w:rPr>
          <w:rFonts w:ascii="Arial" w:hAnsi="Arial" w:eastAsia="Arial"/>
          <w:color w:val="111827"/>
          <w:sz w:val="21"/>
        </w:rPr>
        <w:t xml:space="preserve">Avoid reusing a</w:t>
      </w:r>
      <w:r>
        <w:rPr>
          <w:rFonts w:ascii="Arial" w:hAnsi="Arial" w:eastAsia="Arial"/>
          <w:color w:val="111827"/>
          <w:sz w:val="21"/>
        </w:rPr>
        <w:t xml:space="preserve"> </w:t>
      </w:r>
      <w:r>
        <w:rPr>
          <w:rStyle w:val="VerbatimChar"/>
          <w:rFonts w:ascii="Arial" w:hAnsi="Arial" w:eastAsia="Arial"/>
          <w:color w:val="111827"/>
          <w:sz w:val="21"/>
        </w:rPr>
        <w:t xml:space="preserve">(key, nonce)</w:t>
      </w:r>
      <w:r>
        <w:rPr>
          <w:rFonts w:ascii="Arial" w:hAnsi="Arial" w:eastAsia="Arial"/>
          <w:color w:val="111827"/>
          <w:sz w:val="21"/>
        </w:rPr>
        <w:t xml:space="preserve"> </w:t>
      </w:r>
      <w:r>
        <w:rPr>
          <w:rFonts w:ascii="Arial" w:hAnsi="Arial" w:eastAsia="Arial"/>
          <w:color w:val="111827"/>
          <w:sz w:val="21"/>
        </w:rPr>
        <w:t xml:space="preserve">pair. Include</w:t>
      </w:r>
      <w:r>
        <w:rPr>
          <w:rFonts w:ascii="Arial" w:hAnsi="Arial" w:eastAsia="Arial"/>
          <w:color w:val="111827"/>
          <w:sz w:val="21"/>
        </w:rPr>
        <w:t xml:space="preserve"> </w:t>
      </w:r>
      <w:r>
        <w:rPr>
          <w:rStyle w:val="VerbatimChar"/>
          <w:rFonts w:ascii="Arial" w:hAnsi="Arial" w:eastAsia="Arial"/>
          <w:color w:val="111827"/>
          <w:sz w:val="21"/>
        </w:rPr>
        <w:t xml:space="preserve">messageIndex</w:t>
      </w:r>
      <w:r>
        <w:rPr>
          <w:rFonts w:ascii="Arial" w:hAnsi="Arial" w:eastAsia="Arial"/>
          <w:color w:val="111827"/>
          <w:sz w:val="21"/>
        </w:rPr>
        <w:t xml:space="preserve"> </w:t>
      </w:r>
      <w:r>
        <w:rPr>
          <w:rFonts w:ascii="Arial" w:hAnsi="Arial" w:eastAsia="Arial"/>
          <w:color w:val="111827"/>
          <w:sz w:val="21"/>
        </w:rPr>
        <w:t xml:space="preserve">in AAD and reject replayed indexes. Receivers may keep a bounded skipped-message-key cache so out-of-order GossipSub delivery does not break decryption.</w:t>
      </w:r>
    </w:p>
    <w:bookmarkEnd w:id="29"/>
    <w:bookmarkStart w:id="33" w:name="membership-changes"/>
    <w:p>
      <w:pPr>
        <w:pStyle w:val="Heading2"/>
        <w:keepNext/>
      </w:pPr>
      <w:r>
        <w:rPr>
          <w:rFonts w:ascii="Arial" w:hAnsi="Arial" w:eastAsia="Arial"/>
          <w:b/>
          <w:i w:val="0"/>
          <w:color w:val="0B4F63"/>
          <w:sz w:val="29"/>
        </w:rPr>
        <w:t xml:space="preserve">Membership Changes</w:t>
      </w:r>
    </w:p>
    <w:p>
      <w:pPr>
        <w:pStyle w:val="FirstParagraph"/>
      </w:pPr>
      <w:r>
        <w:rPr>
          <w:rFonts w:ascii="Arial" w:hAnsi="Arial" w:eastAsia="Arial"/>
          <w:color w:val="111827"/>
          <w:sz w:val="21"/>
        </w:rPr>
        <w:t xml:space="preserve">Any membership-affecting change starts a new epoch:</w:t>
      </w:r>
    </w:p>
    <w:tbl>
      <w:tblPr>
        <w:tblStyle w:val="Table"/>
        <w:tblW w:type="dxa" w:w="9840"/>
        <w:jc w:val="center"/>
        <w:tblLayout w:type="fixed"/>
        <w:tblLook w:firstRow="1" w:lastRow="0" w:firstColumn="0" w:lastColumn="0" w:noHBand="0" w:noVBand="0" w:val="0020"/>
        <w:tblInd w:type="dxa" w:w="0"/>
        <w:tblBorders>
          <w:top w:val="single" w:sz="6" w:space="0" w:color="C9DCE2"/>
          <w:left w:val="single" w:sz="6" w:space="0" w:color="C9DCE2"/>
          <w:bottom w:val="single" w:sz="6" w:space="0" w:color="C9DCE2"/>
          <w:right w:val="single" w:sz="6" w:space="0" w:color="C9DCE2"/>
          <w:insideH w:val="single" w:sz="6" w:space="0" w:color="C9DCE2"/>
          <w:insideV w:val="single" w:sz="6" w:space="0" w:color="C9DCE2"/>
        </w:tblBorders>
      </w:tblPr>
      <w:tblGrid>
        <w:gridCol w:w="3960"/>
        <w:gridCol w:w="3960"/>
      </w:tblGrid>
      <w:tr>
        <w:trPr>
          <w:tblHeader w:val="true"/>
          <w:cantSplit w:val="true"/>
        </w:trPr>
        <w:tc>
          <w:tcPr>
            <w:tcW w:type="dxa" w:w="4100"/>
            <w:tcMar>
              <w:top w:w="95" w:type="dxa"/>
              <w:start w:w="120" w:type="dxa"/>
              <w:bottom w:w="95" w:type="dxa"/>
              <w:end w:w="120" w:type="dxa"/>
            </w:tcMar>
            <w:vAlign w:val="center"/>
            <w:shd w:fill="E7F3F6"/>
          </w:tcPr>
          <w:p>
            <w:pPr>
              <w:pStyle w:val="Compact"/>
              <w:spacing w:before="0" w:after="0" w:line="250" w:lineRule="auto"/>
            </w:pPr>
            <w:r>
              <w:rPr>
                <w:rFonts w:ascii="Arial" w:hAnsi="Arial" w:eastAsia="Arial"/>
                <w:b/>
                <w:color w:val="0B4F63"/>
                <w:sz w:val="19"/>
              </w:rPr>
              <w:t xml:space="preserve">Change</w:t>
            </w:r>
          </w:p>
        </w:tc>
        <w:tc>
          <w:tcPr>
            <w:tcW w:type="dxa" w:w="5740"/>
            <w:tcMar>
              <w:top w:w="95" w:type="dxa"/>
              <w:start w:w="120" w:type="dxa"/>
              <w:bottom w:w="95" w:type="dxa"/>
              <w:end w:w="120" w:type="dxa"/>
            </w:tcMar>
            <w:vAlign w:val="center"/>
            <w:shd w:fill="E7F3F6"/>
          </w:tcPr>
          <w:p>
            <w:pPr>
              <w:pStyle w:val="Compact"/>
              <w:spacing w:before="0" w:after="0" w:line="250" w:lineRule="auto"/>
            </w:pPr>
            <w:r>
              <w:rPr>
                <w:rFonts w:ascii="Arial" w:hAnsi="Arial" w:eastAsia="Arial"/>
                <w:b/>
                <w:color w:val="0B4F63"/>
                <w:sz w:val="19"/>
              </w:rPr>
              <w:t xml:space="preserve">Required Sender Key response</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Allowed agent added</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Generate a new epoch and send the new setup package to the updated member set.</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Allowed agent removed</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Generate a new epoch and exclude the removed agent from future setup packages.</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Participant agent added</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Recompute membership and rotate into a new epoch.</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Participant agent removed</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Recompute membership and rotate into a new epoch.</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Recipient encryption public key changes</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Treat the verified key set as changed and create a new epoch.</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Sender agent rotates its sender signing key</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Create a new sender epoch with the new epoch signing public key.</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Context graph becomes private or agent-gated</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Stop plaintext-compatible private SWM and start encrypted epoch setup.</w:t>
            </w:r>
          </w:p>
        </w:tc>
      </w:tr>
    </w:tbl>
    <w:p>
      <w:pPr>
        <w:pStyle w:val="CaptionedFigure"/>
        <w:spacing w:after="80" w:before="160"/>
        <w:jc w:val="center"/>
      </w:pPr>
      <w:r>
        <w:drawing>
          <wp:inline>
            <wp:extent cx="5334000" cy="3030967"/>
            <wp:effectExtent b="0" l="0" r="0" t="0"/>
            <wp:docPr descr="Membership rotation flow rendered sequence diagram" title="" id="31" name="Picture"/>
            <a:graphic>
              <a:graphicData uri="http://schemas.openxmlformats.org/drawingml/2006/picture">
                <pic:pic>
                  <pic:nvPicPr>
                    <pic:cNvPr descr="/private/tmp/swm-sender-key-doc-build/diagrams/swm-sender-key-3.png" id="32" name="Picture"/>
                    <pic:cNvPicPr>
                      <a:picLocks noChangeArrowheads="1" noChangeAspect="1"/>
                    </pic:cNvPicPr>
                  </pic:nvPicPr>
                  <pic:blipFill>
                    <a:blip r:embed="rId30"/>
                    <a:stretch>
                      <a:fillRect/>
                    </a:stretch>
                  </pic:blipFill>
                  <pic:spPr bwMode="auto">
                    <a:xfrm>
                      <a:off x="0" y="0"/>
                      <a:ext cx="5334000" cy="3030967"/>
                    </a:xfrm>
                    <a:prstGeom prst="rect">
                      <a:avLst/>
                    </a:prstGeom>
                    <a:noFill/>
                    <a:ln w="9525">
                      <a:noFill/>
                      <a:headEnd/>
                      <a:tailEnd/>
                    </a:ln>
                  </pic:spPr>
                </pic:pic>
              </a:graphicData>
            </a:graphic>
          </wp:inline>
        </w:drawing>
      </w:r>
    </w:p>
    <w:p>
      <w:pPr>
        <w:pStyle w:val="ImageCaption"/>
        <w:spacing w:before="60" w:after="200"/>
        <w:jc w:val="center"/>
      </w:pPr>
      <w:r>
        <w:rPr>
          <w:rFonts w:ascii="Arial" w:hAnsi="Arial" w:eastAsia="Arial"/>
          <w:b w:val="0"/>
          <w:i/>
          <w:color w:val="4B5563"/>
          <w:sz w:val="18"/>
        </w:rPr>
        <w:t xml:space="preserve">Membership rotation flow rendered sequence diagram</w:t>
      </w:r>
    </w:p>
    <w:p>
      <w:pPr>
        <w:pStyle w:val="BodyText"/>
      </w:pPr>
      <w:r>
        <w:rPr>
          <w:rFonts w:ascii="Arial" w:hAnsi="Arial" w:eastAsia="Arial"/>
          <w:color w:val="111827"/>
          <w:sz w:val="21"/>
        </w:rPr>
        <w:t xml:space="preserve">Removed agents cannot decrypt future epochs because they do not receive the new Sender Key package. They may still retain data they already decrypted before removal; no protocol can retroactively erase that.</w:t>
      </w:r>
    </w:p>
    <w:bookmarkEnd w:id="33"/>
    <w:bookmarkStart w:id="34" w:name="late-join-and-replay-behavior"/>
    <w:p>
      <w:pPr>
        <w:pStyle w:val="Heading2"/>
        <w:keepNext/>
      </w:pPr>
      <w:r>
        <w:rPr>
          <w:rFonts w:ascii="Arial" w:hAnsi="Arial" w:eastAsia="Arial"/>
          <w:b/>
          <w:i w:val="0"/>
          <w:color w:val="0B4F63"/>
          <w:sz w:val="29"/>
        </w:rPr>
        <w:t xml:space="preserve">Late Join and Replay Behavior</w:t>
      </w:r>
    </w:p>
    <w:p>
      <w:pPr>
        <w:pStyle w:val="FirstParagraph"/>
      </w:pPr>
      <w:r>
        <w:rPr>
          <w:rFonts w:ascii="Arial" w:hAnsi="Arial" w:eastAsia="Arial"/>
          <w:color w:val="111827"/>
          <w:sz w:val="21"/>
        </w:rPr>
        <w:t xml:space="preserve">Late joiners should not receive historical Sender Key state automatically for epochs where they were not members. By default, they get a setup package only for the new epoch created after they join.</w:t>
      </w:r>
    </w:p>
    <w:p>
      <w:pPr>
        <w:pStyle w:val="BodyText"/>
      </w:pPr>
      <w:r>
        <w:rPr>
          <w:rFonts w:ascii="Arial" w:hAnsi="Arial" w:eastAsia="Arial"/>
          <w:color w:val="111827"/>
          <w:sz w:val="21"/>
        </w:rPr>
        <w:t xml:space="preserve">Backfill can still be possible when the context graph policy allows the newly added agent to read historical SWM. That must be an explicit authorization path, not an accidental property of joining the current epoch.</w:t>
      </w:r>
    </w:p>
    <w:tbl>
      <w:tblPr>
        <w:tblStyle w:val="Table"/>
        <w:tblW w:type="dxa" w:w="9840"/>
        <w:jc w:val="center"/>
        <w:tblLayout w:type="fixed"/>
        <w:tblLook w:firstRow="1" w:lastRow="0" w:firstColumn="0" w:lastColumn="0" w:noHBand="0" w:noVBand="0" w:val="0020"/>
        <w:tblInd w:type="dxa" w:w="0"/>
        <w:tblBorders>
          <w:top w:val="single" w:sz="6" w:space="0" w:color="C9DCE2"/>
          <w:left w:val="single" w:sz="6" w:space="0" w:color="C9DCE2"/>
          <w:bottom w:val="single" w:sz="6" w:space="0" w:color="C9DCE2"/>
          <w:right w:val="single" w:sz="6" w:space="0" w:color="C9DCE2"/>
          <w:insideH w:val="single" w:sz="6" w:space="0" w:color="C9DCE2"/>
          <w:insideV w:val="single" w:sz="6" w:space="0" w:color="C9DCE2"/>
        </w:tblBorders>
      </w:tblPr>
      <w:tblGrid>
        <w:gridCol w:w="2640"/>
        <w:gridCol w:w="2640"/>
        <w:gridCol w:w="2640"/>
      </w:tblGrid>
      <w:tr>
        <w:trPr>
          <w:tblHeader w:val="true"/>
          <w:cantSplit w:val="true"/>
        </w:trPr>
        <w:tc>
          <w:tcPr>
            <w:tcW w:type="dxa" w:w="2700"/>
            <w:tcMar>
              <w:top w:w="95" w:type="dxa"/>
              <w:start w:w="120" w:type="dxa"/>
              <w:bottom w:w="95" w:type="dxa"/>
              <w:end w:w="120" w:type="dxa"/>
            </w:tcMar>
            <w:vAlign w:val="center"/>
            <w:shd w:fill="E7F3F6"/>
          </w:tcPr>
          <w:p>
            <w:pPr>
              <w:pStyle w:val="Compact"/>
              <w:spacing w:before="0" w:after="0" w:line="250" w:lineRule="auto"/>
            </w:pPr>
            <w:r>
              <w:rPr>
                <w:rFonts w:ascii="Arial" w:hAnsi="Arial" w:eastAsia="Arial"/>
                <w:b/>
                <w:color w:val="0B4F63"/>
                <w:sz w:val="18"/>
              </w:rPr>
              <w:t xml:space="preserve">Path</w:t>
            </w:r>
          </w:p>
        </w:tc>
        <w:tc>
          <w:tcPr>
            <w:tcW w:type="dxa" w:w="3600"/>
            <w:tcMar>
              <w:top w:w="95" w:type="dxa"/>
              <w:start w:w="120" w:type="dxa"/>
              <w:bottom w:w="95" w:type="dxa"/>
              <w:end w:w="120" w:type="dxa"/>
            </w:tcMar>
            <w:vAlign w:val="center"/>
            <w:shd w:fill="E7F3F6"/>
          </w:tcPr>
          <w:p>
            <w:pPr>
              <w:pStyle w:val="Compact"/>
              <w:spacing w:before="0" w:after="0" w:line="250" w:lineRule="auto"/>
            </w:pPr>
            <w:r>
              <w:rPr>
                <w:rFonts w:ascii="Arial" w:hAnsi="Arial" w:eastAsia="Arial"/>
                <w:b/>
                <w:color w:val="0B4F63"/>
                <w:sz w:val="18"/>
              </w:rPr>
              <w:t xml:space="preserve">Behavior</w:t>
            </w:r>
          </w:p>
        </w:tc>
        <w:tc>
          <w:tcPr>
            <w:tcW w:type="dxa" w:w="3540"/>
            <w:tcMar>
              <w:top w:w="95" w:type="dxa"/>
              <w:start w:w="120" w:type="dxa"/>
              <w:bottom w:w="95" w:type="dxa"/>
              <w:end w:w="120" w:type="dxa"/>
            </w:tcMar>
            <w:vAlign w:val="center"/>
            <w:shd w:fill="E7F3F6"/>
          </w:tcPr>
          <w:p>
            <w:pPr>
              <w:pStyle w:val="Compact"/>
              <w:spacing w:before="0" w:after="0" w:line="250" w:lineRule="auto"/>
            </w:pPr>
            <w:r>
              <w:rPr>
                <w:rFonts w:ascii="Arial" w:hAnsi="Arial" w:eastAsia="Arial"/>
                <w:b/>
                <w:color w:val="0B4F63"/>
                <w:sz w:val="18"/>
              </w:rPr>
              <w:t xml:space="preserve">Security note</w:t>
            </w:r>
          </w:p>
        </w:tc>
      </w:tr>
      <w:tr>
        <w:trPr>
          <w:cantSplit w:val="true"/>
        </w:trPr>
        <w:tc>
          <w:tcPr>
            <w:tcW w:type="dxa" w:w="27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Default late join</w:t>
            </w:r>
          </w:p>
        </w:tc>
        <w:tc>
          <w:tcPr>
            <w:tcW w:type="dxa" w:w="36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New agent receives only the new epoch setup package and decrypts future SWM.</w:t>
            </w:r>
          </w:p>
        </w:tc>
        <w:tc>
          <w:tcPr>
            <w:tcW w:type="dxa" w:w="35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This is the safe default and does not reveal historical epochs.</w:t>
            </w:r>
          </w:p>
        </w:tc>
      </w:tr>
      <w:tr>
        <w:trPr>
          <w:cantSplit w:val="true"/>
        </w:trPr>
        <w:tc>
          <w:tcPr>
            <w:tcW w:type="dxa" w:w="27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Authorized snapshot backfill</w:t>
            </w:r>
          </w:p>
        </w:tc>
        <w:tc>
          <w:tcPr>
            <w:tcW w:type="dxa" w:w="36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An already-authorized node reads historical SWM from local storage and sends a selected encrypted snapshot to the new DKG agent key.</w:t>
            </w:r>
          </w:p>
        </w:tc>
        <w:tc>
          <w:tcPr>
            <w:tcW w:type="dxa" w:w="35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Best for bounded history because it does not disclose old epoch chain keys.</w:t>
            </w:r>
          </w:p>
        </w:tc>
      </w:tr>
      <w:tr>
        <w:trPr>
          <w:cantSplit w:val="true"/>
        </w:trPr>
        <w:tc>
          <w:tcPr>
            <w:tcW w:type="dxa" w:w="27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Authorized epoch-key backfill</w:t>
            </w:r>
          </w:p>
        </w:tc>
        <w:tc>
          <w:tcPr>
            <w:tcW w:type="dxa" w:w="36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A sender or trusted key archive sends historical sender-key material for selected prior epochs to the new DKG agent key.</w:t>
            </w:r>
          </w:p>
        </w:tc>
        <w:tc>
          <w:tcPr>
            <w:tcW w:type="dxa" w:w="35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Grants access to the covered epoch/range; only use if policy explicitly permits that history disclosure.</w:t>
            </w:r>
          </w:p>
        </w:tc>
      </w:tr>
      <w:tr>
        <w:trPr>
          <w:cantSplit w:val="true"/>
        </w:trPr>
        <w:tc>
          <w:tcPr>
            <w:tcW w:type="dxa" w:w="27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Not allowed</w:t>
            </w:r>
          </w:p>
        </w:tc>
        <w:tc>
          <w:tcPr>
            <w:tcW w:type="dxa" w:w="36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Raw plaintext fallback, peer-key backfill, or passive decryption of old GossipSub bytes after simply joining.</w:t>
            </w:r>
          </w:p>
        </w:tc>
        <w:tc>
          <w:tcPr>
            <w:tcW w:type="dxa" w:w="35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Backfill must remain DKG-agent-key encrypted and policy-gated.</w:t>
            </w:r>
          </w:p>
        </w:tc>
      </w:tr>
    </w:tbl>
    <w:p>
      <w:pPr>
        <w:pStyle w:val="BodyText"/>
      </w:pPr>
      <w:r>
        <w:rPr>
          <w:rFonts w:ascii="Arial" w:hAnsi="Arial" w:eastAsia="Arial"/>
          <w:color w:val="111827"/>
          <w:sz w:val="21"/>
        </w:rPr>
        <w:t xml:space="preserve">If an already-allowed agent missed the setup package because it was offline, it may request a resend:</w:t>
      </w:r>
    </w:p>
    <w:tbl>
      <w:tblPr>
        <w:tblStyle w:val="Table"/>
        <w:tblW w:type="dxa" w:w="9840"/>
        <w:jc w:val="center"/>
        <w:tblLayout w:type="fixed"/>
        <w:tblLook w:firstRow="1" w:lastRow="0" w:firstColumn="0" w:lastColumn="0" w:noHBand="0" w:noVBand="0" w:val="0020"/>
        <w:tblInd w:type="dxa" w:w="0"/>
        <w:tblBorders>
          <w:top w:val="single" w:sz="6" w:space="0" w:color="C9DCE2"/>
          <w:left w:val="single" w:sz="6" w:space="0" w:color="C9DCE2"/>
          <w:bottom w:val="single" w:sz="6" w:space="0" w:color="C9DCE2"/>
          <w:right w:val="single" w:sz="6" w:space="0" w:color="C9DCE2"/>
          <w:insideH w:val="single" w:sz="6" w:space="0" w:color="C9DCE2"/>
          <w:insideV w:val="single" w:sz="6" w:space="0" w:color="C9DCE2"/>
        </w:tblBorders>
      </w:tblPr>
      <w:tblGrid>
        <w:gridCol w:w="3960"/>
        <w:gridCol w:w="3960"/>
      </w:tblGrid>
      <w:tr>
        <w:trPr>
          <w:tblHeader w:val="true"/>
          <w:cantSplit w:val="true"/>
        </w:trPr>
        <w:tc>
          <w:tcPr>
            <w:tcW w:type="dxa" w:w="4100"/>
            <w:tcMar>
              <w:top w:w="95" w:type="dxa"/>
              <w:start w:w="120" w:type="dxa"/>
              <w:bottom w:w="95" w:type="dxa"/>
              <w:end w:w="120" w:type="dxa"/>
            </w:tcMar>
            <w:vAlign w:val="center"/>
            <w:shd w:fill="E7F3F6"/>
          </w:tcPr>
          <w:p>
            <w:pPr>
              <w:pStyle w:val="Compact"/>
              <w:spacing w:before="0" w:after="0" w:line="250" w:lineRule="auto"/>
            </w:pPr>
            <w:r>
              <w:rPr>
                <w:rFonts w:ascii="Arial" w:hAnsi="Arial" w:eastAsia="Arial"/>
                <w:b/>
                <w:color w:val="0B4F63"/>
                <w:sz w:val="19"/>
              </w:rPr>
              <w:t xml:space="preserve">Field</w:t>
            </w:r>
          </w:p>
        </w:tc>
        <w:tc>
          <w:tcPr>
            <w:tcW w:type="dxa" w:w="5740"/>
            <w:tcMar>
              <w:top w:w="95" w:type="dxa"/>
              <w:start w:w="120" w:type="dxa"/>
              <w:bottom w:w="95" w:type="dxa"/>
              <w:end w:w="120" w:type="dxa"/>
            </w:tcMar>
            <w:vAlign w:val="center"/>
            <w:shd w:fill="E7F3F6"/>
          </w:tcPr>
          <w:p>
            <w:pPr>
              <w:pStyle w:val="Compact"/>
              <w:spacing w:before="0" w:after="0" w:line="250" w:lineRule="auto"/>
            </w:pPr>
            <w:r>
              <w:rPr>
                <w:rFonts w:ascii="Arial" w:hAnsi="Arial" w:eastAsia="Arial"/>
                <w:b/>
                <w:color w:val="0B4F63"/>
                <w:sz w:val="19"/>
              </w:rPr>
              <w:t xml:space="preserve">Purpose</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contextGraphId</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Context graph for the requested epoch.</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subGraphName</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Optional SWM subgraph binding.</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senderAgentAddress</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Sender whose epoch package is requested.</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epochId</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Epoch to resend.</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requesterAgentAddress</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DKG agent asking for the package.</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requesterKeyId</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Verified recipient key ID the resend should target.</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Style w:val="VerbatimChar"/>
                <w:rFonts w:ascii="Arial" w:hAnsi="Arial" w:eastAsia="Arial"/>
                <w:color w:val="111827"/>
                <w:sz w:val="19"/>
              </w:rPr>
              <w:t xml:space="preserve">requestSignature</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Requester agent signature authorizing the resend request.</w:t>
            </w:r>
          </w:p>
        </w:tc>
      </w:tr>
    </w:tbl>
    <w:p>
      <w:pPr>
        <w:pStyle w:val="BodyText"/>
      </w:pPr>
      <w:r>
        <w:rPr>
          <w:rFonts w:ascii="Arial" w:hAnsi="Arial" w:eastAsia="Arial"/>
          <w:color w:val="111827"/>
          <w:sz w:val="21"/>
        </w:rPr>
        <w:t xml:space="preserve">The sender should resend only if the requester is still allowed and its verified recipient encryption key matches the epoch membership set. This is a convenience path, not a plaintext fallback.</w:t>
      </w:r>
    </w:p>
    <w:p>
      <w:pPr>
        <w:pStyle w:val="BodyText"/>
      </w:pPr>
      <w:r>
        <w:rPr>
          <w:rFonts w:ascii="Arial" w:hAnsi="Arial" w:eastAsia="Arial"/>
          <w:color w:val="111827"/>
          <w:sz w:val="21"/>
        </w:rPr>
        <w:t xml:space="preserve">Historical backfill has an extra state-retention question. A pure forward ratchet does not let a sender reconstruct old message keys unless it retained the relevant initial chain key, checkpointed chain state, cached message keys, or can read and re-encrypt stored plaintext SWM. The first implementation should prefer snapshot backfill for explicit historical grants, and treat epoch-key backfill as an optional later policy surface.</w:t>
      </w:r>
    </w:p>
    <w:bookmarkEnd w:id="34"/>
    <w:bookmarkStart w:id="35" w:name="comparison-with-kept-envelope-path"/>
    <w:p>
      <w:pPr>
        <w:pStyle w:val="Heading2"/>
        <w:keepNext/>
      </w:pPr>
      <w:r>
        <w:rPr>
          <w:rFonts w:ascii="Arial" w:hAnsi="Arial" w:eastAsia="Arial"/>
          <w:b/>
          <w:i w:val="0"/>
          <w:color w:val="0B4F63"/>
          <w:sz w:val="29"/>
        </w:rPr>
        <w:t xml:space="preserve">Comparison With Kept Envelope Path</w:t>
      </w:r>
    </w:p>
    <w:tbl>
      <w:tblPr>
        <w:tblStyle w:val="Table"/>
        <w:tblW w:type="dxa" w:w="9840"/>
        <w:jc w:val="center"/>
        <w:tblLayout w:type="fixed"/>
        <w:tblLook w:firstRow="1" w:lastRow="0" w:firstColumn="0" w:lastColumn="0" w:noHBand="0" w:noVBand="0" w:val="0020"/>
        <w:tblInd w:type="dxa" w:w="0"/>
        <w:tblBorders>
          <w:top w:val="single" w:sz="6" w:space="0" w:color="C9DCE2"/>
          <w:left w:val="single" w:sz="6" w:space="0" w:color="C9DCE2"/>
          <w:bottom w:val="single" w:sz="6" w:space="0" w:color="C9DCE2"/>
          <w:right w:val="single" w:sz="6" w:space="0" w:color="C9DCE2"/>
          <w:insideH w:val="single" w:sz="6" w:space="0" w:color="C9DCE2"/>
          <w:insideV w:val="single" w:sz="6" w:space="0" w:color="C9DCE2"/>
        </w:tblBorders>
      </w:tblPr>
      <w:tblGrid>
        <w:gridCol w:w="2640"/>
        <w:gridCol w:w="2640"/>
        <w:gridCol w:w="2640"/>
      </w:tblGrid>
      <w:tr>
        <w:trPr>
          <w:tblHeader w:val="true"/>
          <w:cantSplit w:val="true"/>
        </w:trPr>
        <w:tc>
          <w:tcPr>
            <w:tcW w:type="dxa" w:w="2700"/>
            <w:tcMar>
              <w:top w:w="95" w:type="dxa"/>
              <w:start w:w="120" w:type="dxa"/>
              <w:bottom w:w="95" w:type="dxa"/>
              <w:end w:w="120" w:type="dxa"/>
            </w:tcMar>
            <w:vAlign w:val="center"/>
            <w:shd w:fill="E7F3F6"/>
          </w:tcPr>
          <w:p>
            <w:pPr>
              <w:pStyle w:val="Compact"/>
              <w:spacing w:before="0" w:after="0" w:line="250" w:lineRule="auto"/>
            </w:pPr>
            <w:r>
              <w:rPr>
                <w:rFonts w:ascii="Arial" w:hAnsi="Arial" w:eastAsia="Arial"/>
                <w:b/>
                <w:color w:val="0B4F63"/>
                <w:sz w:val="18"/>
              </w:rPr>
              <w:t xml:space="preserve">Area</w:t>
            </w:r>
          </w:p>
        </w:tc>
        <w:tc>
          <w:tcPr>
            <w:tcW w:type="dxa" w:w="3600"/>
            <w:tcMar>
              <w:top w:w="95" w:type="dxa"/>
              <w:start w:w="120" w:type="dxa"/>
              <w:bottom w:w="95" w:type="dxa"/>
              <w:end w:w="120" w:type="dxa"/>
            </w:tcMar>
            <w:vAlign w:val="center"/>
            <w:shd w:fill="E7F3F6"/>
          </w:tcPr>
          <w:p>
            <w:pPr>
              <w:pStyle w:val="Compact"/>
              <w:spacing w:before="0" w:after="0" w:line="250" w:lineRule="auto"/>
            </w:pPr>
            <w:r>
              <w:rPr>
                <w:rFonts w:ascii="Arial" w:hAnsi="Arial" w:eastAsia="Arial"/>
                <w:b/>
                <w:color w:val="0B4F63"/>
                <w:sz w:val="18"/>
              </w:rPr>
              <w:t xml:space="preserve">Kept encrypted-envelope path</w:t>
            </w:r>
          </w:p>
        </w:tc>
        <w:tc>
          <w:tcPr>
            <w:tcW w:type="dxa" w:w="3540"/>
            <w:tcMar>
              <w:top w:w="95" w:type="dxa"/>
              <w:start w:w="120" w:type="dxa"/>
              <w:bottom w:w="95" w:type="dxa"/>
              <w:end w:w="120" w:type="dxa"/>
            </w:tcMar>
            <w:vAlign w:val="center"/>
            <w:shd w:fill="E7F3F6"/>
          </w:tcPr>
          <w:p>
            <w:pPr>
              <w:pStyle w:val="Compact"/>
              <w:spacing w:before="0" w:after="0" w:line="250" w:lineRule="auto"/>
            </w:pPr>
            <w:r>
              <w:rPr>
                <w:rFonts w:ascii="Arial" w:hAnsi="Arial" w:eastAsia="Arial"/>
                <w:b/>
                <w:color w:val="0B4F63"/>
                <w:sz w:val="18"/>
              </w:rPr>
              <w:t xml:space="preserve">Sender Key epoch design</w:t>
            </w:r>
          </w:p>
        </w:tc>
      </w:tr>
      <w:tr>
        <w:trPr>
          <w:cantSplit w:val="true"/>
        </w:trPr>
        <w:tc>
          <w:tcPr>
            <w:tcW w:type="dxa" w:w="27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Per-message recipient work</w:t>
            </w:r>
          </w:p>
        </w:tc>
        <w:tc>
          <w:tcPr>
            <w:tcW w:type="dxa" w:w="36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Wrap CEK once per allowed agent.</w:t>
            </w:r>
          </w:p>
        </w:tc>
        <w:tc>
          <w:tcPr>
            <w:tcW w:type="dxa" w:w="35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None after setup; one ciphertext per message.</w:t>
            </w:r>
          </w:p>
        </w:tc>
      </w:tr>
      <w:tr>
        <w:trPr>
          <w:cantSplit w:val="true"/>
        </w:trPr>
        <w:tc>
          <w:tcPr>
            <w:tcW w:type="dxa" w:w="27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Setup ceremony</w:t>
            </w:r>
          </w:p>
        </w:tc>
        <w:tc>
          <w:tcPr>
            <w:tcW w:type="dxa" w:w="36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None beyond recipient-key resolution.</w:t>
            </w:r>
          </w:p>
        </w:tc>
        <w:tc>
          <w:tcPr>
            <w:tcW w:type="dxa" w:w="35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Required per sender per epoch.</w:t>
            </w:r>
          </w:p>
        </w:tc>
      </w:tr>
      <w:tr>
        <w:trPr>
          <w:cantSplit w:val="true"/>
        </w:trPr>
        <w:tc>
          <w:tcPr>
            <w:tcW w:type="dxa" w:w="27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Late join</w:t>
            </w:r>
          </w:p>
        </w:tc>
        <w:tc>
          <w:tcPr>
            <w:tcW w:type="dxa" w:w="36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Next message can include a wrapped CEK for the new agent if membership allows.</w:t>
            </w:r>
          </w:p>
        </w:tc>
        <w:tc>
          <w:tcPr>
            <w:tcW w:type="dxa" w:w="35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New epoch required for future messages; historical access requires explicit encrypted backfill.</w:t>
            </w:r>
          </w:p>
        </w:tc>
      </w:tr>
      <w:tr>
        <w:trPr>
          <w:cantSplit w:val="true"/>
        </w:trPr>
        <w:tc>
          <w:tcPr>
            <w:tcW w:type="dxa" w:w="27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Revocation</w:t>
            </w:r>
          </w:p>
        </w:tc>
        <w:tc>
          <w:tcPr>
            <w:tcW w:type="dxa" w:w="36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Exclude removed agent from future wrapped CEKs.</w:t>
            </w:r>
          </w:p>
        </w:tc>
        <w:tc>
          <w:tcPr>
            <w:tcW w:type="dxa" w:w="35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New epoch; removed agent does not receive new Sender Key package.</w:t>
            </w:r>
          </w:p>
        </w:tc>
      </w:tr>
      <w:tr>
        <w:trPr>
          <w:cantSplit w:val="true"/>
        </w:trPr>
        <w:tc>
          <w:tcPr>
            <w:tcW w:type="dxa" w:w="27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Out-of-order handling</w:t>
            </w:r>
          </w:p>
        </w:tc>
        <w:tc>
          <w:tcPr>
            <w:tcW w:type="dxa" w:w="36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Independent per message.</w:t>
            </w:r>
          </w:p>
        </w:tc>
        <w:tc>
          <w:tcPr>
            <w:tcW w:type="dxa" w:w="35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Needs message indexes and skipped-key cache.</w:t>
            </w:r>
          </w:p>
        </w:tc>
      </w:tr>
      <w:tr>
        <w:trPr>
          <w:cantSplit w:val="true"/>
        </w:trPr>
        <w:tc>
          <w:tcPr>
            <w:tcW w:type="dxa" w:w="27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Complexity</w:t>
            </w:r>
          </w:p>
        </w:tc>
        <w:tc>
          <w:tcPr>
            <w:tcW w:type="dxa" w:w="36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Lower.</w:t>
            </w:r>
          </w:p>
        </w:tc>
        <w:tc>
          <w:tcPr>
            <w:tcW w:type="dxa" w:w="35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Higher: epoch state, resend, ratchet, replay windows.</w:t>
            </w:r>
          </w:p>
        </w:tc>
      </w:tr>
      <w:tr>
        <w:trPr>
          <w:cantSplit w:val="true"/>
        </w:trPr>
        <w:tc>
          <w:tcPr>
            <w:tcW w:type="dxa" w:w="27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Good fit</w:t>
            </w:r>
          </w:p>
        </w:tc>
        <w:tc>
          <w:tcPr>
            <w:tcW w:type="dxa" w:w="36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Immediate committed confidentiality layer and small private graphs.</w:t>
            </w:r>
          </w:p>
        </w:tc>
        <w:tc>
          <w:tcPr>
            <w:tcW w:type="dxa" w:w="35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Larger groups or high-frequency SWM writes.</w:t>
            </w:r>
          </w:p>
        </w:tc>
      </w:tr>
    </w:tbl>
    <w:bookmarkEnd w:id="35"/>
    <w:bookmarkStart w:id="36" w:name="reuse-boundary-summary"/>
    <w:p>
      <w:pPr>
        <w:pStyle w:val="Heading2"/>
        <w:keepNext/>
      </w:pPr>
      <w:r>
        <w:rPr>
          <w:rFonts w:ascii="Arial" w:hAnsi="Arial" w:eastAsia="Arial"/>
          <w:b/>
          <w:i w:val="0"/>
          <w:color w:val="0B4F63"/>
          <w:sz w:val="29"/>
        </w:rPr>
        <w:t xml:space="preserve">Reuse Boundary Summary</w:t>
      </w:r>
    </w:p>
    <w:p>
      <w:pPr>
        <w:pStyle w:val="FirstParagraph"/>
      </w:pPr>
      <w:r>
        <w:rPr>
          <w:rFonts w:ascii="Arial" w:hAnsi="Arial" w:eastAsia="Arial"/>
          <w:color w:val="111827"/>
          <w:sz w:val="21"/>
        </w:rPr>
        <w:t xml:space="preserve">The follow-up should keep the previous work as the foundation:</w:t>
      </w:r>
    </w:p>
    <w:tbl>
      <w:tblPr>
        <w:tblStyle w:val="Table"/>
        <w:tblW w:type="dxa" w:w="9840"/>
        <w:jc w:val="center"/>
        <w:tblLayout w:type="fixed"/>
        <w:tblLook w:firstRow="1" w:lastRow="0" w:firstColumn="0" w:lastColumn="0" w:noHBand="0" w:noVBand="0" w:val="0020"/>
        <w:tblInd w:type="dxa" w:w="0"/>
        <w:tblBorders>
          <w:top w:val="single" w:sz="6" w:space="0" w:color="C9DCE2"/>
          <w:left w:val="single" w:sz="6" w:space="0" w:color="C9DCE2"/>
          <w:bottom w:val="single" w:sz="6" w:space="0" w:color="C9DCE2"/>
          <w:right w:val="single" w:sz="6" w:space="0" w:color="C9DCE2"/>
          <w:insideH w:val="single" w:sz="6" w:space="0" w:color="C9DCE2"/>
          <w:insideV w:val="single" w:sz="6" w:space="0" w:color="C9DCE2"/>
        </w:tblBorders>
      </w:tblPr>
      <w:tblGrid>
        <w:gridCol w:w="3960"/>
        <w:gridCol w:w="3960"/>
      </w:tblGrid>
      <w:tr>
        <w:trPr>
          <w:tblHeader w:val="true"/>
          <w:cantSplit w:val="true"/>
        </w:trPr>
        <w:tc>
          <w:tcPr>
            <w:tcW w:type="dxa" w:w="4100"/>
            <w:tcMar>
              <w:top w:w="95" w:type="dxa"/>
              <w:start w:w="120" w:type="dxa"/>
              <w:bottom w:w="95" w:type="dxa"/>
              <w:end w:w="120" w:type="dxa"/>
            </w:tcMar>
            <w:vAlign w:val="center"/>
            <w:shd w:fill="E7F3F6"/>
          </w:tcPr>
          <w:p>
            <w:pPr>
              <w:pStyle w:val="Compact"/>
              <w:spacing w:before="0" w:after="0" w:line="250" w:lineRule="auto"/>
            </w:pPr>
            <w:r>
              <w:rPr>
                <w:rFonts w:ascii="Arial" w:hAnsi="Arial" w:eastAsia="Arial"/>
                <w:b/>
                <w:color w:val="0B4F63"/>
                <w:sz w:val="19"/>
              </w:rPr>
              <w:t xml:space="preserve">Keep</w:t>
            </w:r>
          </w:p>
        </w:tc>
        <w:tc>
          <w:tcPr>
            <w:tcW w:type="dxa" w:w="5740"/>
            <w:tcMar>
              <w:top w:w="95" w:type="dxa"/>
              <w:start w:w="120" w:type="dxa"/>
              <w:bottom w:w="95" w:type="dxa"/>
              <w:end w:w="120" w:type="dxa"/>
            </w:tcMar>
            <w:vAlign w:val="center"/>
            <w:shd w:fill="E7F3F6"/>
          </w:tcPr>
          <w:p>
            <w:pPr>
              <w:pStyle w:val="Compact"/>
              <w:spacing w:before="0" w:after="0" w:line="250" w:lineRule="auto"/>
            </w:pPr>
            <w:r>
              <w:rPr>
                <w:rFonts w:ascii="Arial" w:hAnsi="Arial" w:eastAsia="Arial"/>
                <w:b/>
                <w:color w:val="0B4F63"/>
                <w:sz w:val="19"/>
              </w:rPr>
              <w:t xml:space="preserve">How the Sender Key follow-up uses it</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DKG agent X25519 key model</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Setup packages are encrypted only to verified DKG agent keys.</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Agent-profile key advertisement and proof verification</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Recipient keys remain agent-owned and signature-bound.</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Recipient resolution from DKG agent allowlists</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The same resolved agent set drives the epoch membership hash.</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Fail-closed private behavior</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Missing or unenforceable DKG agent recipients still stop private SWM.</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Private plaintext rejection</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Decrypt failure never falls back to plaintext in private or agent-gated graphs.</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Public/open legacy compatibility</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Public graphs can keep the existing plaintext-compatible path.</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Encrypted protobuf/AAD helpers</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Reuse the framing discipline for Sender Key package and message AAD.</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Existing tests</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Keep current confidentiality tests and add Sender Key-specific coverage beside them.</w:t>
            </w:r>
          </w:p>
        </w:tc>
      </w:tr>
    </w:tbl>
    <w:p>
      <w:pPr>
        <w:pStyle w:val="BodyText"/>
      </w:pPr>
      <w:r>
        <w:rPr>
          <w:rFonts w:ascii="Arial" w:hAnsi="Arial" w:eastAsia="Arial"/>
          <w:color w:val="111827"/>
          <w:sz w:val="21"/>
        </w:rPr>
        <w:t xml:space="preserve">The follow-up should change only the broadcast encryption shape: replace per-message CEK wrapping with per-epoch Sender Key setup packages and ratcheted message keys.</w:t>
      </w:r>
    </w:p>
    <w:bookmarkEnd w:id="36"/>
    <w:bookmarkStart w:id="37" w:name="implementation-plan"/>
    <w:p>
      <w:pPr>
        <w:pStyle w:val="Heading2"/>
        <w:keepNext/>
      </w:pPr>
      <w:r>
        <w:rPr>
          <w:rFonts w:ascii="Arial" w:hAnsi="Arial" w:eastAsia="Arial"/>
          <w:b/>
          <w:i w:val="0"/>
          <w:color w:val="0B4F63"/>
          <w:sz w:val="29"/>
        </w:rPr>
        <w:t xml:space="preserve">Implementation Plan</w:t>
      </w:r>
    </w:p>
    <w:tbl>
      <w:tblPr>
        <w:tblStyle w:val="Table"/>
        <w:tblW w:type="dxa" w:w="9840"/>
        <w:jc w:val="center"/>
        <w:tblLayout w:type="fixed"/>
        <w:tblLook w:firstRow="1" w:lastRow="0" w:firstColumn="0" w:lastColumn="0" w:noHBand="0" w:noVBand="0" w:val="0020"/>
        <w:tblInd w:type="dxa" w:w="0"/>
        <w:tblBorders>
          <w:top w:val="single" w:sz="6" w:space="0" w:color="C9DCE2"/>
          <w:left w:val="single" w:sz="6" w:space="0" w:color="C9DCE2"/>
          <w:bottom w:val="single" w:sz="6" w:space="0" w:color="C9DCE2"/>
          <w:right w:val="single" w:sz="6" w:space="0" w:color="C9DCE2"/>
          <w:insideH w:val="single" w:sz="6" w:space="0" w:color="C9DCE2"/>
          <w:insideV w:val="single" w:sz="6" w:space="0" w:color="C9DCE2"/>
        </w:tblBorders>
      </w:tblPr>
      <w:tblGrid>
        <w:gridCol w:w="2640"/>
        <w:gridCol w:w="2640"/>
        <w:gridCol w:w="2640"/>
      </w:tblGrid>
      <w:tr>
        <w:trPr>
          <w:tblHeader w:val="true"/>
          <w:cantSplit w:val="true"/>
        </w:trPr>
        <w:tc>
          <w:tcPr>
            <w:tcW w:type="dxa" w:w="2700"/>
            <w:tcMar>
              <w:top w:w="95" w:type="dxa"/>
              <w:start w:w="120" w:type="dxa"/>
              <w:bottom w:w="95" w:type="dxa"/>
              <w:end w:w="120" w:type="dxa"/>
            </w:tcMar>
            <w:vAlign w:val="center"/>
            <w:shd w:fill="E7F3F6"/>
          </w:tcPr>
          <w:p>
            <w:pPr>
              <w:pStyle w:val="Compact"/>
              <w:spacing w:before="0" w:after="0" w:line="250" w:lineRule="auto"/>
            </w:pPr>
            <w:r>
              <w:rPr>
                <w:rFonts w:ascii="Arial" w:hAnsi="Arial" w:eastAsia="Arial"/>
                <w:b/>
                <w:color w:val="0B4F63"/>
                <w:sz w:val="18"/>
              </w:rPr>
              <w:t xml:space="preserve">Phase</w:t>
            </w:r>
          </w:p>
        </w:tc>
        <w:tc>
          <w:tcPr>
            <w:tcW w:type="dxa" w:w="3600"/>
            <w:tcMar>
              <w:top w:w="95" w:type="dxa"/>
              <w:start w:w="120" w:type="dxa"/>
              <w:bottom w:w="95" w:type="dxa"/>
              <w:end w:w="120" w:type="dxa"/>
            </w:tcMar>
            <w:vAlign w:val="center"/>
            <w:shd w:fill="E7F3F6"/>
          </w:tcPr>
          <w:p>
            <w:pPr>
              <w:pStyle w:val="Compact"/>
              <w:spacing w:before="0" w:after="0" w:line="250" w:lineRule="auto"/>
            </w:pPr>
            <w:r>
              <w:rPr>
                <w:rFonts w:ascii="Arial" w:hAnsi="Arial" w:eastAsia="Arial"/>
                <w:b/>
                <w:color w:val="0B4F63"/>
                <w:sz w:val="18"/>
              </w:rPr>
              <w:t xml:space="preserve">Scope</w:t>
            </w:r>
          </w:p>
        </w:tc>
        <w:tc>
          <w:tcPr>
            <w:tcW w:type="dxa" w:w="3540"/>
            <w:tcMar>
              <w:top w:w="95" w:type="dxa"/>
              <w:start w:w="120" w:type="dxa"/>
              <w:bottom w:w="95" w:type="dxa"/>
              <w:end w:w="120" w:type="dxa"/>
            </w:tcMar>
            <w:vAlign w:val="center"/>
            <w:shd w:fill="E7F3F6"/>
          </w:tcPr>
          <w:p>
            <w:pPr>
              <w:pStyle w:val="Compact"/>
              <w:spacing w:before="0" w:after="0" w:line="250" w:lineRule="auto"/>
            </w:pPr>
            <w:r>
              <w:rPr>
                <w:rFonts w:ascii="Arial" w:hAnsi="Arial" w:eastAsia="Arial"/>
                <w:b/>
                <w:color w:val="0B4F63"/>
                <w:sz w:val="18"/>
              </w:rPr>
              <w:t xml:space="preserve">Work</w:t>
            </w:r>
          </w:p>
        </w:tc>
      </w:tr>
      <w:tr>
        <w:trPr>
          <w:cantSplit w:val="true"/>
        </w:trPr>
        <w:tc>
          <w:tcPr>
            <w:tcW w:type="dxa" w:w="27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1</w:t>
            </w:r>
          </w:p>
        </w:tc>
        <w:tc>
          <w:tcPr>
            <w:tcW w:type="dxa" w:w="36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Sender Key schemas</w:t>
            </w:r>
          </w:p>
        </w:tc>
        <w:tc>
          <w:tcPr>
            <w:tcW w:type="dxa" w:w="35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Add</w:t>
            </w:r>
            <w:r>
              <w:rPr>
                <w:rFonts w:ascii="Arial" w:hAnsi="Arial" w:eastAsia="Arial"/>
                <w:color w:val="111827"/>
                <w:sz w:val="18"/>
              </w:rPr>
              <w:t xml:space="preserve"> </w:t>
            </w:r>
            <w:r>
              <w:rPr>
                <w:rStyle w:val="VerbatimChar"/>
                <w:rFonts w:ascii="Arial" w:hAnsi="Arial" w:eastAsia="Arial"/>
                <w:color w:val="111827"/>
                <w:sz w:val="18"/>
              </w:rPr>
              <w:t xml:space="preserve">SwmSenderKeyPackage</w:t>
            </w:r>
            <w:r>
              <w:rPr>
                <w:rFonts w:ascii="Arial" w:hAnsi="Arial" w:eastAsia="Arial"/>
                <w:color w:val="111827"/>
                <w:sz w:val="18"/>
              </w:rPr>
              <w:t xml:space="preserve">,</w:t>
            </w:r>
            <w:r>
              <w:rPr>
                <w:rFonts w:ascii="Arial" w:hAnsi="Arial" w:eastAsia="Arial"/>
                <w:color w:val="111827"/>
                <w:sz w:val="18"/>
              </w:rPr>
              <w:t xml:space="preserve"> </w:t>
            </w:r>
            <w:r>
              <w:rPr>
                <w:rStyle w:val="VerbatimChar"/>
                <w:rFonts w:ascii="Arial" w:hAnsi="Arial" w:eastAsia="Arial"/>
                <w:color w:val="111827"/>
                <w:sz w:val="18"/>
              </w:rPr>
              <w:t xml:space="preserve">SwmSenderKeyMessage</w:t>
            </w:r>
            <w:r>
              <w:rPr>
                <w:rFonts w:ascii="Arial" w:hAnsi="Arial" w:eastAsia="Arial"/>
                <w:color w:val="111827"/>
                <w:sz w:val="18"/>
              </w:rPr>
              <w:t xml:space="preserve">,</w:t>
            </w:r>
            <w:r>
              <w:rPr>
                <w:rFonts w:ascii="Arial" w:hAnsi="Arial" w:eastAsia="Arial"/>
                <w:color w:val="111827"/>
                <w:sz w:val="18"/>
              </w:rPr>
              <w:t xml:space="preserve"> </w:t>
            </w:r>
            <w:r>
              <w:rPr>
                <w:rStyle w:val="VerbatimChar"/>
                <w:rFonts w:ascii="Arial" w:hAnsi="Arial" w:eastAsia="Arial"/>
                <w:color w:val="111827"/>
                <w:sz w:val="18"/>
              </w:rPr>
              <w:t xml:space="preserve">SwmSenderKeyResendRequest</w:t>
            </w:r>
            <w:r>
              <w:rPr>
                <w:rFonts w:ascii="Arial" w:hAnsi="Arial" w:eastAsia="Arial"/>
                <w:color w:val="111827"/>
                <w:sz w:val="18"/>
              </w:rPr>
              <w:t xml:space="preserve">, deterministic AAD serialization, and context/replay tests.</w:t>
            </w:r>
          </w:p>
        </w:tc>
      </w:tr>
      <w:tr>
        <w:trPr>
          <w:cantSplit w:val="true"/>
        </w:trPr>
        <w:tc>
          <w:tcPr>
            <w:tcW w:type="dxa" w:w="27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2</w:t>
            </w:r>
          </w:p>
        </w:tc>
        <w:tc>
          <w:tcPr>
            <w:tcW w:type="dxa" w:w="36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Epoch state store</w:t>
            </w:r>
          </w:p>
        </w:tc>
        <w:tc>
          <w:tcPr>
            <w:tcW w:type="dxa" w:w="35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Persist local sender epoch state, receiver state per remote sender epoch, message indexes, skipped-message-key cache, and keep private key material local-only.</w:t>
            </w:r>
          </w:p>
        </w:tc>
      </w:tr>
      <w:tr>
        <w:trPr>
          <w:cantSplit w:val="true"/>
        </w:trPr>
        <w:tc>
          <w:tcPr>
            <w:tcW w:type="dxa" w:w="27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3</w:t>
            </w:r>
          </w:p>
        </w:tc>
        <w:tc>
          <w:tcPr>
            <w:tcW w:type="dxa" w:w="36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Setup distribution</w:t>
            </w:r>
          </w:p>
        </w:tc>
        <w:tc>
          <w:tcPr>
            <w:tcW w:type="dxa" w:w="35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Resolve recipients from DKG agent allowlists only, resolve verified X25519 keys, use direct libp2p where possible, encrypt setup packages to DKG agent keys, sign them, and fail closed on missing keys.</w:t>
            </w:r>
          </w:p>
        </w:tc>
      </w:tr>
      <w:tr>
        <w:trPr>
          <w:cantSplit w:val="true"/>
        </w:trPr>
        <w:tc>
          <w:tcPr>
            <w:tcW w:type="dxa" w:w="27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4</w:t>
            </w:r>
          </w:p>
        </w:tc>
        <w:tc>
          <w:tcPr>
            <w:tcW w:type="dxa" w:w="36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Broadcast path</w:t>
            </w:r>
          </w:p>
        </w:tc>
        <w:tc>
          <w:tcPr>
            <w:tcW w:type="dxa" w:w="35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Ensure a valid epoch for the current membership hash, run setup when needed, derive message key/nonce, encrypt once, sign ciphertext, and gossip one</w:t>
            </w:r>
            <w:r>
              <w:rPr>
                <w:rFonts w:ascii="Arial" w:hAnsi="Arial" w:eastAsia="Arial"/>
                <w:color w:val="111827"/>
                <w:sz w:val="18"/>
              </w:rPr>
              <w:t xml:space="preserve"> </w:t>
            </w:r>
            <w:r>
              <w:rPr>
                <w:rStyle w:val="VerbatimChar"/>
                <w:rFonts w:ascii="Arial" w:hAnsi="Arial" w:eastAsia="Arial"/>
                <w:color w:val="111827"/>
                <w:sz w:val="18"/>
              </w:rPr>
              <w:t xml:space="preserve">SwmSenderKeyMessage</w:t>
            </w:r>
            <w:r>
              <w:rPr>
                <w:rFonts w:ascii="Arial" w:hAnsi="Arial" w:eastAsia="Arial"/>
                <w:color w:val="111827"/>
                <w:sz w:val="18"/>
              </w:rPr>
              <w:t xml:space="preserve">.</w:t>
            </w:r>
          </w:p>
        </w:tc>
      </w:tr>
      <w:tr>
        <w:trPr>
          <w:cantSplit w:val="true"/>
        </w:trPr>
        <w:tc>
          <w:tcPr>
            <w:tcW w:type="dxa" w:w="27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5</w:t>
            </w:r>
          </w:p>
        </w:tc>
        <w:tc>
          <w:tcPr>
            <w:tcW w:type="dxa" w:w="36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Receive path</w:t>
            </w:r>
          </w:p>
        </w:tc>
        <w:tc>
          <w:tcPr>
            <w:tcW w:type="dxa" w:w="35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Verify outer agent signature, verify sender-key epoch signature, check sender authorization, find receiver state, derive/recover the message key, decrypt, validate</w:t>
            </w:r>
            <w:r>
              <w:rPr>
                <w:rFonts w:ascii="Arial" w:hAnsi="Arial" w:eastAsia="Arial"/>
                <w:color w:val="111827"/>
                <w:sz w:val="18"/>
              </w:rPr>
              <w:t xml:space="preserve"> </w:t>
            </w:r>
            <w:r>
              <w:rPr>
                <w:rStyle w:val="VerbatimChar"/>
                <w:rFonts w:ascii="Arial" w:hAnsi="Arial" w:eastAsia="Arial"/>
                <w:color w:val="111827"/>
                <w:sz w:val="18"/>
              </w:rPr>
              <w:t xml:space="preserve">WorkspacePublishRequest.paranetId</w:t>
            </w:r>
            <w:r>
              <w:rPr>
                <w:rFonts w:ascii="Arial" w:hAnsi="Arial" w:eastAsia="Arial"/>
                <w:color w:val="111827"/>
                <w:sz w:val="18"/>
              </w:rPr>
              <w:t xml:space="preserve">, and store nothing on failure.</w:t>
            </w:r>
          </w:p>
        </w:tc>
      </w:tr>
      <w:tr>
        <w:trPr>
          <w:cantSplit w:val="true"/>
        </w:trPr>
        <w:tc>
          <w:tcPr>
            <w:tcW w:type="dxa" w:w="27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6</w:t>
            </w:r>
          </w:p>
        </w:tc>
        <w:tc>
          <w:tcPr>
            <w:tcW w:type="dxa" w:w="36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Membership rotation</w:t>
            </w:r>
          </w:p>
        </w:tc>
        <w:tc>
          <w:tcPr>
            <w:tcW w:type="dxa" w:w="35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Compute membership hash from sorted DKG agent addresses and verified recipient key IDs, invalidate old epochs for future sends, distribute a new epoch before the next SWM write, and retain old receiver state only within a bounded in-flight window.</w:t>
            </w:r>
          </w:p>
        </w:tc>
      </w:tr>
      <w:tr>
        <w:trPr>
          <w:cantSplit w:val="true"/>
        </w:trPr>
        <w:tc>
          <w:tcPr>
            <w:tcW w:type="dxa" w:w="27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7</w:t>
            </w:r>
          </w:p>
        </w:tc>
        <w:tc>
          <w:tcPr>
            <w:tcW w:type="dxa" w:w="36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Tests</w:t>
            </w:r>
          </w:p>
        </w:tc>
        <w:tc>
          <w:tcPr>
            <w:tcW w:type="dxa" w:w="35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8"/>
              </w:rPr>
              <w:t xml:space="preserve">Cover agent-only setup, one-ciphertext fanout, allowed decrypt/store, unauthorized no-store, no-recipient fail closed, missing key fail closed, revocation, late join, out-of-order delivery, replay rejection, cross-context rejection, and public compatibility.</w:t>
            </w:r>
          </w:p>
        </w:tc>
      </w:tr>
    </w:tbl>
    <w:bookmarkEnd w:id="37"/>
    <w:bookmarkStart w:id="38" w:name="acceptance-criteria"/>
    <w:p>
      <w:pPr>
        <w:pStyle w:val="Heading2"/>
        <w:keepNext/>
      </w:pPr>
      <w:r>
        <w:rPr>
          <w:rFonts w:ascii="Arial" w:hAnsi="Arial" w:eastAsia="Arial"/>
          <w:b/>
          <w:i w:val="0"/>
          <w:color w:val="0B4F63"/>
          <w:sz w:val="29"/>
        </w:rPr>
        <w:t xml:space="preserve">Acceptance Criteria</w:t>
      </w:r>
    </w:p>
    <w:p>
      <w:pPr>
        <w:pStyle w:val="FirstParagraph"/>
      </w:pPr>
      <w:r>
        <w:rPr>
          <w:rFonts w:ascii="Arial" w:hAnsi="Arial" w:eastAsia="Arial"/>
          <w:color w:val="111827"/>
          <w:sz w:val="21"/>
        </w:rPr>
        <w:t xml:space="preserve">The Sender Key follow-up is complete when:</w:t>
      </w:r>
    </w:p>
    <w:tbl>
      <w:tblPr>
        <w:tblStyle w:val="Table"/>
        <w:tblW w:type="dxa" w:w="9840"/>
        <w:jc w:val="center"/>
        <w:tblLayout w:type="fixed"/>
        <w:tblLook w:firstRow="1" w:lastRow="0" w:firstColumn="0" w:lastColumn="0" w:noHBand="0" w:noVBand="0" w:val="0020"/>
        <w:tblInd w:type="dxa" w:w="0"/>
        <w:tblBorders>
          <w:top w:val="single" w:sz="6" w:space="0" w:color="C9DCE2"/>
          <w:left w:val="single" w:sz="6" w:space="0" w:color="C9DCE2"/>
          <w:bottom w:val="single" w:sz="6" w:space="0" w:color="C9DCE2"/>
          <w:right w:val="single" w:sz="6" w:space="0" w:color="C9DCE2"/>
          <w:insideH w:val="single" w:sz="6" w:space="0" w:color="C9DCE2"/>
          <w:insideV w:val="single" w:sz="6" w:space="0" w:color="C9DCE2"/>
        </w:tblBorders>
      </w:tblPr>
      <w:tblGrid>
        <w:gridCol w:w="3960"/>
        <w:gridCol w:w="3960"/>
      </w:tblGrid>
      <w:tr>
        <w:trPr>
          <w:tblHeader w:val="true"/>
          <w:cantSplit w:val="true"/>
        </w:trPr>
        <w:tc>
          <w:tcPr>
            <w:tcW w:type="dxa" w:w="4100"/>
            <w:tcMar>
              <w:top w:w="95" w:type="dxa"/>
              <w:start w:w="120" w:type="dxa"/>
              <w:bottom w:w="95" w:type="dxa"/>
              <w:end w:w="120" w:type="dxa"/>
            </w:tcMar>
            <w:vAlign w:val="center"/>
            <w:shd w:fill="E7F3F6"/>
          </w:tcPr>
          <w:p>
            <w:pPr>
              <w:pStyle w:val="Compact"/>
              <w:spacing w:before="0" w:after="0" w:line="250" w:lineRule="auto"/>
            </w:pPr>
            <w:r>
              <w:rPr>
                <w:rFonts w:ascii="Arial" w:hAnsi="Arial" w:eastAsia="Arial"/>
                <w:b/>
                <w:color w:val="0B4F63"/>
                <w:sz w:val="19"/>
              </w:rPr>
              <w:t xml:space="preserve">Area</w:t>
            </w:r>
          </w:p>
        </w:tc>
        <w:tc>
          <w:tcPr>
            <w:tcW w:type="dxa" w:w="5740"/>
            <w:tcMar>
              <w:top w:w="95" w:type="dxa"/>
              <w:start w:w="120" w:type="dxa"/>
              <w:bottom w:w="95" w:type="dxa"/>
              <w:end w:w="120" w:type="dxa"/>
            </w:tcMar>
            <w:vAlign w:val="center"/>
            <w:shd w:fill="E7F3F6"/>
          </w:tcPr>
          <w:p>
            <w:pPr>
              <w:pStyle w:val="Compact"/>
              <w:spacing w:before="0" w:after="0" w:line="250" w:lineRule="auto"/>
            </w:pPr>
            <w:r>
              <w:rPr>
                <w:rFonts w:ascii="Arial" w:hAnsi="Arial" w:eastAsia="Arial"/>
                <w:b/>
                <w:color w:val="0B4F63"/>
                <w:sz w:val="19"/>
              </w:rPr>
              <w:t xml:space="preserve">Completion condition</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Fanout shape</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Private and agent-gated SWM no longer wrap a CEK per recipient on every broadcast.</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Epoch model</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Each sender uses a per-context-graph Sender Key epoch.</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Agent-only setup</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Setup packages are individually encrypted to DKG agent X25519 keys only.</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No peer recipient model</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Peer identity is never an encryption recipient.</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Broadcast payload</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Subsequent SWM messages are single ciphertext fanout messages.</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Membership rotation</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Membership/key changes force a new epoch.</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Revocation</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Removed agents cannot decrypt future SWM.</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Late join</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Added agents cannot decrypt historical SWM automatically; authorized historical access is delivered only through an explicit encrypted backfill path.</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Private failure behavior</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Plaintext fallback remains rejected for private or agent-gated SWM.</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Public compatibility</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Public/open SWM remains backward compatible.</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Validation</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Focused crypto, publisher, and agent SWM tests pass.</w:t>
            </w:r>
          </w:p>
        </w:tc>
      </w:tr>
      <w:tr>
        <w:trPr>
          <w:cantSplit w:val="true"/>
        </w:trPr>
        <w:tc>
          <w:tcPr>
            <w:tcW w:type="dxa" w:w="410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Build checks</w:t>
            </w:r>
          </w:p>
        </w:tc>
        <w:tc>
          <w:tcPr>
            <w:tcW w:type="dxa" w:w="5740"/>
            <w:tcMar>
              <w:top w:w="95" w:type="dxa"/>
              <w:start w:w="120" w:type="dxa"/>
              <w:bottom w:w="95" w:type="dxa"/>
              <w:end w:w="120" w:type="dxa"/>
            </w:tcMar>
            <w:vAlign w:val="center"/>
          </w:tcPr>
          <w:p>
            <w:pPr>
              <w:pStyle w:val="Compact"/>
              <w:spacing w:before="0" w:after="0" w:line="250" w:lineRule="auto"/>
            </w:pPr>
            <w:r>
              <w:rPr>
                <w:rFonts w:ascii="Arial" w:hAnsi="Arial" w:eastAsia="Arial"/>
                <w:color w:val="111827"/>
                <w:sz w:val="19"/>
              </w:rPr>
              <w:t xml:space="preserve">Affected package builds pass and</w:t>
            </w:r>
            <w:r>
              <w:rPr>
                <w:rFonts w:ascii="Arial" w:hAnsi="Arial" w:eastAsia="Arial"/>
                <w:color w:val="111827"/>
                <w:sz w:val="19"/>
              </w:rPr>
              <w:t xml:space="preserve"> </w:t>
            </w:r>
            <w:r>
              <w:rPr>
                <w:rStyle w:val="VerbatimChar"/>
                <w:rFonts w:ascii="Arial" w:hAnsi="Arial" w:eastAsia="Arial"/>
                <w:color w:val="111827"/>
                <w:sz w:val="19"/>
              </w:rPr>
              <w:t xml:space="preserve">git diff --check</w:t>
            </w:r>
            <w:r>
              <w:rPr>
                <w:rFonts w:ascii="Arial" w:hAnsi="Arial" w:eastAsia="Arial"/>
                <w:color w:val="111827"/>
                <w:sz w:val="19"/>
              </w:rPr>
              <w:t xml:space="preserve"> </w:t>
            </w:r>
            <w:r>
              <w:rPr>
                <w:rFonts w:ascii="Arial" w:hAnsi="Arial" w:eastAsia="Arial"/>
                <w:color w:val="111827"/>
                <w:sz w:val="19"/>
              </w:rPr>
              <w:t xml:space="preserve">passes.</w:t>
            </w:r>
          </w:p>
        </w:tc>
      </w:tr>
    </w:tbl>
    <w:bookmarkEnd w:id="38"/>
    <w:bookmarkStart w:id="39" w:name="recommended-next-task"/>
    <w:p>
      <w:pPr>
        <w:pStyle w:val="Heading2"/>
        <w:keepNext/>
      </w:pPr>
      <w:r>
        <w:rPr>
          <w:rFonts w:ascii="Arial" w:hAnsi="Arial" w:eastAsia="Arial"/>
          <w:b/>
          <w:i w:val="0"/>
          <w:color w:val="0B4F63"/>
          <w:sz w:val="29"/>
        </w:rPr>
        <w:t xml:space="preserve">Recommended Next Task</w:t>
      </w:r>
    </w:p>
    <w:p>
      <w:pPr>
        <w:pStyle w:val="FirstParagraph"/>
      </w:pPr>
      <w:r>
        <w:rPr>
          <w:rFonts w:ascii="Arial" w:hAnsi="Arial" w:eastAsia="Arial"/>
          <w:color w:val="111827"/>
          <w:sz w:val="21"/>
        </w:rPr>
        <w:t xml:space="preserve">Create a follow-up implementation task titled</w:t>
      </w:r>
      <w:r>
        <w:rPr>
          <w:rFonts w:ascii="Arial" w:hAnsi="Arial" w:eastAsia="Arial"/>
          <w:color w:val="111827"/>
          <w:sz w:val="21"/>
        </w:rPr>
        <w:t xml:space="preserve"> </w:t>
      </w:r>
      <w:r>
        <w:rPr>
          <w:rFonts w:ascii="Arial" w:hAnsi="Arial" w:eastAsia="Arial"/>
          <w:b/>
          <w:bCs/>
          <w:color w:val="111827"/>
          <w:sz w:val="21"/>
        </w:rPr>
        <w:t xml:space="preserve">Implement SWM Sender Key epochs for private context graphs</w:t>
      </w:r>
      <w:r>
        <w:rPr>
          <w:rFonts w:ascii="Arial" w:hAnsi="Arial" w:eastAsia="Arial"/>
          <w:color w:val="111827"/>
          <w:sz w:val="21"/>
        </w:rPr>
        <w:t xml:space="preserve">.</w:t>
      </w:r>
    </w:p>
    <w:p>
      <w:pPr>
        <w:pStyle w:val="BodyText"/>
      </w:pPr>
      <w:r>
        <w:rPr>
          <w:rFonts w:ascii="Arial" w:hAnsi="Arial" w:eastAsia="Arial"/>
          <w:color w:val="111827"/>
          <w:sz w:val="21"/>
        </w:rPr>
        <w:t xml:space="preserve">Scope it to SWM GossipSub payload confidentiality and fanout efficiency. Keep DKG agent encryption keys as the only recipient key model. Do not add peer-key recipients, do not redesign KA publishing, and keep historical backfill as an explicit policy-gated follow-up surface rather than an implicit late-join side effect.</w:t>
      </w:r>
    </w:p>
    <w:bookmarkEnd w:id="39"/>
    <w:bookmarkEnd w:id="40"/>
    <w:sectPr>
      <w:footnotePr>
        <w:numRestart w:val="eachSect"/>
      </w:footnotePr>
      <w:pgSz w:w="12240" w:h="15840"/>
      <w:pgMar w:top="1123" w:bottom="1181" w:left="1181" w:right="1181"/>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pPr>
      <w:spacing w:after="140" w:line="259" w:lineRule="auto"/>
    </w:pPr>
    <w:rPr>
      <w:rFonts w:ascii="Arial" w:hAnsi="Arial" w:eastAsia="Arial"/>
      <w:color w:val="111827"/>
      <w:sz w:val="21"/>
    </w:rPr>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ascii="Arial" w:hAnsi="Arial" w:eastAsia="Arial"/>
      <w:b/>
      <w:color w:val="0B4F63"/>
      <w:sz w:val="40"/>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240" w:before="0"/>
      <w:outlineLvl w:val="0"/>
    </w:pPr>
    <w:rPr>
      <w:rFonts w:asciiTheme="majorHAnsi" w:cstheme="majorBidi" w:eastAsiaTheme="majorEastAsia" w:hAnsiTheme="majorHAnsi" w:ascii="Arial" w:hAnsi="Arial" w:eastAsia="Arial"/>
      <w:b/>
      <w:color w:val="0B4F63"/>
      <w:sz w:val="38"/>
      <w:szCs w:val="40"/>
    </w:rPr>
  </w:style>
  <w:style w:styleId="Heading2" w:type="paragraph">
    <w:name w:val="heading 2"/>
    <w:basedOn w:val="Normal"/>
    <w:next w:val="BodyText"/>
    <w:link w:val="Heading2Char"/>
    <w:uiPriority w:val="9"/>
    <w:semiHidden/>
    <w:unhideWhenUsed/>
    <w:qFormat/>
    <w:rsid w:val="00A10FD9"/>
    <w:pPr>
      <w:keepNext/>
      <w:keepLines/>
      <w:spacing w:after="140" w:before="280"/>
      <w:outlineLvl w:val="1"/>
    </w:pPr>
    <w:rPr>
      <w:rFonts w:asciiTheme="majorHAnsi" w:cstheme="majorBidi" w:eastAsiaTheme="majorEastAsia" w:hAnsiTheme="majorHAnsi" w:ascii="Arial" w:hAnsi="Arial" w:eastAsia="Arial"/>
      <w:b/>
      <w:color w:val="0B4F63"/>
      <w:sz w:val="29"/>
      <w:szCs w:val="32"/>
    </w:rPr>
  </w:style>
  <w:style w:styleId="Heading3" w:type="paragraph">
    <w:name w:val="heading 3"/>
    <w:basedOn w:val="Normal"/>
    <w:next w:val="BodyText"/>
    <w:link w:val="Heading3Char"/>
    <w:uiPriority w:val="9"/>
    <w:semiHidden/>
    <w:unhideWhenUsed/>
    <w:qFormat/>
    <w:rsid w:val="00A10FD9"/>
    <w:pPr>
      <w:keepNext/>
      <w:keepLines/>
      <w:spacing w:after="100" w:before="200"/>
      <w:outlineLvl w:val="2"/>
    </w:pPr>
    <w:rPr>
      <w:rFonts w:cstheme="majorBidi" w:eastAsiaTheme="majorEastAsia" w:ascii="Arial" w:hAnsi="Arial" w:eastAsia="Arial"/>
      <w:b/>
      <w:color w:val="0B4F63"/>
      <w:sz w:val="24"/>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7" Type="http://schemas.openxmlformats.org/officeDocument/2006/relationships/styles" Target="styles.xml"/><Relationship Id="rId6" Type="http://schemas.openxmlformats.org/officeDocument/2006/relationships/settings" Target="settings.xml"/><Relationship Id="rId5" Type="http://schemas.openxmlformats.org/officeDocument/2006/relationships/webSettings" Target="webSettings.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footnotes" Target="footnotes.xml"/><Relationship Id="rId1" Type="http://schemas.openxmlformats.org/officeDocument/2006/relationships/comments" Target="comments.xml"/><Relationship Id="rId21" Type="http://schemas.openxmlformats.org/officeDocument/2006/relationships/image" Target="media/rId21.png"/><Relationship Id="rId25" Type="http://schemas.openxmlformats.org/officeDocument/2006/relationships/image" Target="media/rId25.png"/><Relationship Id="rId30" Type="http://schemas.openxmlformats.org/officeDocument/2006/relationships/image" Target="media/rId30.png"/><Relationship Id="rId10" Type="http://schemas.openxmlformats.org/officeDocument/2006/relationships/hyperlink" Target="https://docslib.org/doc/4876008/whatsapp-encryption-overview" TargetMode="External"/><Relationship Id="rId11" Type="http://schemas.openxmlformats.org/officeDocument/2006/relationships/hyperlink" Target="https://engineering.fb.com/wp-content/uploads/2023/12/MessengerEnd-to-EndEncryptionOverview_12-6-2023.pdf" TargetMode="External"/></Relationships>
</file>

<file path=word/_rels/footnotes.xml.rels><?xml version='1.0' encoding='UTF-8' standalone='yes'?>
<Relationships xmlns="http://schemas.openxmlformats.org/package/2006/relationships"><Relationship Id="rId10" Type="http://schemas.openxmlformats.org/officeDocument/2006/relationships/hyperlink" Target="https://docslib.org/doc/4876008/whatsapp-encryption-overview" TargetMode="External"/><Relationship Id="rId11" Type="http://schemas.openxmlformats.org/officeDocument/2006/relationships/hyperlink" Target="https://engineering.fb.com/wp-content/uploads/2023/12/MessengerEnd-to-EndEncryptionOverview_12-6-2023.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2026-05-07T20:22:08Z</dcterms:created>
  <dcterms:modified xsi:type="dcterms:W3CDTF">2026-05-07T20:22:08Z</dcterms:modified>
</cp:coreProperties>
</file>

<file path=docProps/custom.xml><?xml version="1.0" encoding="utf-8"?>
<Properties xmlns="http://schemas.openxmlformats.org/officeDocument/2006/custom-properties" xmlns:vt="http://schemas.openxmlformats.org/officeDocument/2006/docPropsVTypes"/>
</file>